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The Strategy of Everything: An Introduction to Game Theory</w:t>
      </w:r>
    </w:p>
    <w:p>
      <w:pPr>
        <w:spacing w:after="200"/>
        <w:jc w:val="center"/>
      </w:pPr>
      <w:r>
        <w:rPr>
          <w:rFonts w:ascii="Calibri" w:cs="Calibri" w:eastAsia="Calibri" w:hAnsi="Calibri"/>
          <w:sz w:val="24"/>
          <w:szCs w:val="24"/>
        </w:rPr>
        <w:t xml:space="preserve">The Art of Unpredictability: Why Randomness Is Rational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a comprehensive foundation for teaching mixed-strategy equilibrium through theory and empirical validation. The von Neumann (1928, 1944) sources establish the mathematical foundations: the minimax theorem proving equilibrium existence and expected utility theory enabling rigorous computation with probabilities. The textbook by Osborne and Rubinstein (1994) provides pedagogical structure for teaching the indifference principle and computational methods for solving 2×2 games—exactly the algebraic skills students will develop. The empirical sources (Palacios-Huerta 2003, Chiappori et al. 2002, Azar &amp; Bar-Eli 2011, Walker &amp; Wooders 2001) provide remarkable validation that mixed strategies are not just theoretical curiosities but describe actual behavior in high-stakes competitive settings. The penalty kick studies are particularly powerful pedagogically because they demonstrate all key properties: identical expected payoffs across strategies, serial independence (no patterns), and mixing probabilities close to theoretical predictions. The WWII Operational Research source (Rau 2005) grounds randomization in historical military strategy, showing students that unpredictability has been consciously deployed as a rational tool in life-and-death situations. Together, these sources support the chapter's central pedagogical message: randomness is not confusion or laziness but a deliberate, calculated strategic response when deterministic play can be exploited. The empirical evidence makes abstract theory tangible, while the mathematical sources provide tools for precise computation. Students emerge understanding both why mixed strategies arise (no pure equilibrium exists) and how to compute them (indifference equations), with confidence that the theory describes real strategic behavior in penalty kicks, warfare, and other competitive domains.</w:t>
      </w:r>
    </w:p>
    <w:p>
      <w:pPr>
        <w:pStyle w:val="Heading2"/>
        <w:spacing w:before="200" w:after="120"/>
      </w:pPr>
      <w:r>
        <w:rPr>
          <w:rFonts w:ascii="Calibri" w:cs="Calibri" w:eastAsia="Calibri" w:hAnsi="Calibri"/>
          <w:b/>
          <w:bCs/>
          <w:sz w:val="24"/>
          <w:szCs w:val="24"/>
        </w:rPr>
        <w:t xml:space="preserve">Sources (8)</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Ignacio Palacios-Huerta (2003). </w:t>
      </w:r>
      <w:r>
        <w:rPr>
          <w:rFonts w:ascii="Calibri" w:cs="Calibri" w:eastAsia="Calibri" w:hAnsi="Calibri"/>
          <w:i/>
          <w:iCs/>
          <w:sz w:val="22"/>
          <w:szCs w:val="22"/>
        </w:rPr>
        <w:t xml:space="preserve">Professionals Play Minimax</w:t>
      </w:r>
      <w:r>
        <w:rPr>
          <w:rFonts w:ascii="Calibri" w:cs="Calibri" w:eastAsia="Calibri" w:hAnsi="Calibri"/>
          <w:color w:val="666666"/>
          <w:sz w:val="20"/>
          <w:szCs w:val="20"/>
        </w:rPr>
        <w:t xml:space="preserve"> DOI: 10.1111/1467-937X.00249</w:t>
      </w:r>
      <w:r>
        <w:rPr>
          <w:rFonts w:ascii="Calibri" w:cs="Calibri" w:eastAsia="Calibri" w:hAnsi="Calibri"/>
          <w:color w:val="336699"/>
          <w:sz w:val="20"/>
          <w:szCs w:val="20"/>
        </w:rPr>
        <w:t xml:space="preserve"> https://academic.oup.com/restud/article-abstract/70/2/395/1588855</w:t>
      </w:r>
    </w:p>
    <w:p>
      <w:pPr>
        <w:spacing w:after="40"/>
        <w:ind w:left="360"/>
      </w:pPr>
      <w:r>
        <w:rPr>
          <w:rFonts w:ascii="Calibri" w:cs="Calibri" w:eastAsia="Calibri" w:hAnsi="Calibri"/>
          <w:sz w:val="22"/>
          <w:szCs w:val="22"/>
        </w:rPr>
        <w:t xml:space="preserve">Analyzed 1,417 penalty kicks from European professional soccer leagues (1995-2000), showing that kickers and goalkeepers randomize their strategies at rates remarkably close to mixed-strategy Nash equilibrium predictions. Success rates were statistically identical across strategies (about 80%), and players generated serially independent sequences, supporting both implications of von Neumann's Minimax Theorem.</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is the seminal empirical study directly cited in the chapter description. It provides the celebrated empirical validation that professional footballers play mixed strategies in high-stakes situations, demonstrating that randomness is rational and that equilibrium predictions hold in real-world strategic settings.</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Pierre-André Chiappori, Steven D. Levitt, and Timothy Groseclose (2002). </w:t>
      </w:r>
      <w:r>
        <w:rPr>
          <w:rFonts w:ascii="Calibri" w:cs="Calibri" w:eastAsia="Calibri" w:hAnsi="Calibri"/>
          <w:i/>
          <w:iCs/>
          <w:sz w:val="22"/>
          <w:szCs w:val="22"/>
        </w:rPr>
        <w:t xml:space="preserve">Testing Mixed-Strategy Equilibria When Players Are Heterogeneous: The Case of Penalty Kicks in Soccer</w:t>
      </w:r>
      <w:r>
        <w:rPr>
          <w:rFonts w:ascii="Calibri" w:cs="Calibri" w:eastAsia="Calibri" w:hAnsi="Calibri"/>
          <w:color w:val="666666"/>
          <w:sz w:val="20"/>
          <w:szCs w:val="20"/>
        </w:rPr>
        <w:t xml:space="preserve"> DOI: 10.1257/00028280260344678</w:t>
      </w:r>
      <w:r>
        <w:rPr>
          <w:rFonts w:ascii="Calibri" w:cs="Calibri" w:eastAsia="Calibri" w:hAnsi="Calibri"/>
          <w:color w:val="336699"/>
          <w:sz w:val="20"/>
          <w:szCs w:val="20"/>
        </w:rPr>
        <w:t xml:space="preserve"> https://www.aeaweb.org/articles?id=10.1257/00028280260344678</w:t>
      </w:r>
    </w:p>
    <w:p>
      <w:pPr>
        <w:spacing w:after="40"/>
        <w:ind w:left="360"/>
      </w:pPr>
      <w:r>
        <w:rPr>
          <w:rFonts w:ascii="Calibri" w:cs="Calibri" w:eastAsia="Calibri" w:hAnsi="Calibri"/>
          <w:sz w:val="22"/>
          <w:szCs w:val="22"/>
        </w:rPr>
        <w:t xml:space="preserve">Developed econometric methodology to test mixed-strategy equilibria while accounting for player heterogeneity. Analyzed 459 penalty kicks and found that players' behavior is consistent with optimizing mixed strategies. Kickers went to their natural side 45% of the time versus goalies jumping there 57% of the time, consistent with equilibrium predictions given asymmetric payoffs.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rigorous econometric testing methodology and addresses the heterogeneity issue—that different players may have different optimal mixing probabilities. Complements Palacios-Huerta's work with alternative statistical approaches, strengthening the empirical case for mixed-strategy play in penalty kicks.</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Ofer H. Azar and Michael Bar-Eli (2011). </w:t>
      </w:r>
      <w:r>
        <w:rPr>
          <w:rFonts w:ascii="Calibri" w:cs="Calibri" w:eastAsia="Calibri" w:hAnsi="Calibri"/>
          <w:i/>
          <w:iCs/>
          <w:sz w:val="22"/>
          <w:szCs w:val="22"/>
        </w:rPr>
        <w:t xml:space="preserve">Do soccer players play the mixed-strategy Nash equilibrium?</w:t>
      </w:r>
      <w:r>
        <w:rPr>
          <w:rFonts w:ascii="Calibri" w:cs="Calibri" w:eastAsia="Calibri" w:hAnsi="Calibri"/>
          <w:color w:val="666666"/>
          <w:sz w:val="20"/>
          <w:szCs w:val="20"/>
        </w:rPr>
        <w:t xml:space="preserve"> DOI: 10.1080/00036840903153788</w:t>
      </w:r>
      <w:r>
        <w:rPr>
          <w:rFonts w:ascii="Calibri" w:cs="Calibri" w:eastAsia="Calibri" w:hAnsi="Calibri"/>
          <w:color w:val="336699"/>
          <w:sz w:val="20"/>
          <w:szCs w:val="20"/>
        </w:rPr>
        <w:t xml:space="preserve"> https://www.tandfonline.com/doi/abs/10.1080/00036840903153788</w:t>
      </w:r>
    </w:p>
    <w:p>
      <w:pPr>
        <w:spacing w:after="40"/>
        <w:ind w:left="360"/>
      </w:pPr>
      <w:r>
        <w:rPr>
          <w:rFonts w:ascii="Calibri" w:cs="Calibri" w:eastAsia="Calibri" w:hAnsi="Calibri"/>
          <w:sz w:val="22"/>
          <w:szCs w:val="22"/>
        </w:rPr>
        <w:t xml:space="preserve">Extended empirical tests of mixed-strategy play in penalty kicks using data from various top leagues and tournaments. Found that MSNE predictions are closest to actual sample data even compared to prediction methods that use information on marginal distributions. Confirms that the strategic game in penalty kicks provides strong naturally-occurring evidence for MSNE.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additional empirical confirmation across multiple leagues and emphasizes why penalty kicks offer such a clean natural experiment: payoffs are common knowledge, players have huge incentives, the game is simple to analyze, and equilibrium is in mixed strategies. Strengthens the pedagogical case for using this application.</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John von Neumann (1928). </w:t>
      </w:r>
      <w:r>
        <w:rPr>
          <w:rFonts w:ascii="Calibri" w:cs="Calibri" w:eastAsia="Calibri" w:hAnsi="Calibri"/>
          <w:i/>
          <w:iCs/>
          <w:sz w:val="22"/>
          <w:szCs w:val="22"/>
        </w:rPr>
        <w:t xml:space="preserve">Zur Theorie der Gesellschaftsspiele (On the Theory of Games of Strategy)</w:t>
      </w:r>
      <w:r>
        <w:rPr>
          <w:rFonts w:ascii="Calibri" w:cs="Calibri" w:eastAsia="Calibri" w:hAnsi="Calibri"/>
          <w:color w:val="666666"/>
          <w:sz w:val="20"/>
          <w:szCs w:val="20"/>
        </w:rPr>
        <w:t xml:space="preserve"> DOI: 10.1007/BF01448847</w:t>
      </w:r>
      <w:r>
        <w:rPr>
          <w:rFonts w:ascii="Calibri" w:cs="Calibri" w:eastAsia="Calibri" w:hAnsi="Calibri"/>
          <w:color w:val="336699"/>
          <w:sz w:val="20"/>
          <w:szCs w:val="20"/>
        </w:rPr>
        <w:t xml:space="preserve"> https://link.springer.com/article/10.1007/BF01448847</w:t>
      </w:r>
    </w:p>
    <w:p>
      <w:pPr>
        <w:spacing w:after="40"/>
        <w:ind w:left="360"/>
      </w:pPr>
      <w:r>
        <w:rPr>
          <w:rFonts w:ascii="Calibri" w:cs="Calibri" w:eastAsia="Calibri" w:hAnsi="Calibri"/>
          <w:sz w:val="22"/>
          <w:szCs w:val="22"/>
        </w:rPr>
        <w:t xml:space="preserve">Original proof of the minimax theorem for two-person zero-sum games, establishing that every finite zero-sum game has optimal mixed strategies. Von Neumann proved that max-min equals min-max when players are allowed to randomize, guaranteeing equilibrium existence. This theorem is considered the starting point of game theory as a mathematical discipline.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The foundational theorem proving that mixed strategy equilibria exist in all finite games. Essential for the chapter's claim that 'the minimax theorem guarantees equilibrium existence in all finite games.' Provides historical and mathematical grounding for why randomization is not just useful but mathematically necessary for equilibrium.</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John von Neumann and Oskar Morgenstern (1944). </w:t>
      </w:r>
      <w:r>
        <w:rPr>
          <w:rFonts w:ascii="Calibri" w:cs="Calibri" w:eastAsia="Calibri" w:hAnsi="Calibri"/>
          <w:i/>
          <w:iCs/>
          <w:sz w:val="22"/>
          <w:szCs w:val="22"/>
        </w:rPr>
        <w:t xml:space="preserve">Theory of Games and Economic Behavior</w:t>
      </w:r>
      <w:r>
        <w:rPr>
          <w:rFonts w:ascii="Calibri" w:cs="Calibri" w:eastAsia="Calibri" w:hAnsi="Calibri"/>
          <w:color w:val="336699"/>
          <w:sz w:val="20"/>
          <w:szCs w:val="20"/>
        </w:rPr>
        <w:t xml:space="preserve"> https://press.princeton.edu/books/paperback/9780691130613/theory-of-games-and-economic-behavior</w:t>
      </w:r>
    </w:p>
    <w:p>
      <w:pPr>
        <w:spacing w:after="40"/>
        <w:ind w:left="360"/>
      </w:pPr>
      <w:r>
        <w:rPr>
          <w:rFonts w:ascii="Calibri" w:cs="Calibri" w:eastAsia="Calibri" w:hAnsi="Calibri"/>
          <w:sz w:val="22"/>
          <w:szCs w:val="22"/>
        </w:rPr>
        <w:t xml:space="preserve">Landmark treatise that expanded von Neumann's 1928 minimax result and developed expected utility theory (von Neumann-Morgenstern utility). Established the mathematical foundations for analyzing games with mixed strategies by showing how to construct utility functions over lotteries satisfying independence axioms, enabling rigorous treatment of probabilistic strategies.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Essential for understanding the expected utility framework that underlies mixed-strategy analysis. The chapter explicitly mentions students will 'work through the algebra of expected utility'—this is the foundational text establishing how preferences over uncertain outcomes can be represented numerically, making mixed-strategy computations meaningful.</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Martin J. Osborne and Ariel Rubinstein (1994). </w:t>
      </w:r>
      <w:r>
        <w:rPr>
          <w:rFonts w:ascii="Calibri" w:cs="Calibri" w:eastAsia="Calibri" w:hAnsi="Calibri"/>
          <w:i/>
          <w:iCs/>
          <w:sz w:val="22"/>
          <w:szCs w:val="22"/>
        </w:rPr>
        <w:t xml:space="preserve">A Course in Game Theory</w:t>
      </w:r>
      <w:r>
        <w:rPr>
          <w:rFonts w:ascii="Calibri" w:cs="Calibri" w:eastAsia="Calibri" w:hAnsi="Calibri"/>
          <w:color w:val="336699"/>
          <w:sz w:val="20"/>
          <w:szCs w:val="20"/>
        </w:rPr>
        <w:t xml:space="preserve"> https://mitpress.mit.edu/9780262650403/a-course-in-game-theory/</w:t>
      </w:r>
    </w:p>
    <w:p>
      <w:pPr>
        <w:spacing w:after="40"/>
        <w:ind w:left="360"/>
      </w:pPr>
      <w:r>
        <w:rPr>
          <w:rFonts w:ascii="Calibri" w:cs="Calibri" w:eastAsia="Calibri" w:hAnsi="Calibri"/>
          <w:sz w:val="22"/>
          <w:szCs w:val="22"/>
        </w:rPr>
        <w:t xml:space="preserve">Graduate-level textbook covering strategic games, extensive games, and coalitional games. Chapter 3 (Mixed Strategy Equilibrium) provides rigorous treatment of mixed strategies including definition, existence results via fixed-point theorems, and the indifference principle. Includes best response function derivations and computational methods for finding equilibria in finite games.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Standard graduate textbook providing mathematical rigor for mixed-strategy theory. Covers the indifference principle explicitly—the key insight that 'students will set up and solve indifference equations' to compute equilibria. Excellent technical reference for the algebraic methods students will learn in this chapter.</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Erik P. Rau (2005). </w:t>
      </w:r>
      <w:r>
        <w:rPr>
          <w:rFonts w:ascii="Calibri" w:cs="Calibri" w:eastAsia="Calibri" w:hAnsi="Calibri"/>
          <w:i/>
          <w:iCs/>
          <w:sz w:val="22"/>
          <w:szCs w:val="22"/>
        </w:rPr>
        <w:t xml:space="preserve">Combat science: the emergence of Operational Research in World War II</w:t>
      </w:r>
      <w:r>
        <w:rPr>
          <w:rFonts w:ascii="Calibri" w:cs="Calibri" w:eastAsia="Calibri" w:hAnsi="Calibri"/>
          <w:color w:val="666666"/>
          <w:sz w:val="20"/>
          <w:szCs w:val="20"/>
        </w:rPr>
        <w:t xml:space="preserve"> DOI: 10.1016/j.endeavour.2005.10.003</w:t>
      </w:r>
      <w:r>
        <w:rPr>
          <w:rFonts w:ascii="Calibri" w:cs="Calibri" w:eastAsia="Calibri" w:hAnsi="Calibri"/>
          <w:color w:val="336699"/>
          <w:sz w:val="20"/>
          <w:szCs w:val="20"/>
        </w:rPr>
        <w:t xml:space="preserve"> https://www.sciencedirect.com/science/article/abs/pii/S0160932705001134</w:t>
      </w:r>
    </w:p>
    <w:p>
      <w:pPr>
        <w:spacing w:after="40"/>
        <w:ind w:left="360"/>
      </w:pPr>
      <w:r>
        <w:rPr>
          <w:rFonts w:ascii="Calibri" w:cs="Calibri" w:eastAsia="Calibri" w:hAnsi="Calibri"/>
          <w:sz w:val="22"/>
          <w:szCs w:val="22"/>
        </w:rPr>
        <w:t xml:space="preserve">Historical analysis of how Operational Research emerged in WWII as scientists applied quantitative methods to military problems. Documented use of randomization in anti-submarine warfare, radar deployment, convoy routing, and strategic bombing. British OR teams analyzed optimal strategies for patrol routes and resource allocation under uncertainty, demonstrating strategic value of unpredictability.</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Supports the chapter's second application: 'military randomisation in historical conflicts, including the Allies' use of randomised patrol routes during World War II.' Provides historical context showing how randomization was deliberately used as a strategic tool in high-stakes military operations, not just an abstract theoretical concept.</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Mark Walker and John Wooders (2001). </w:t>
      </w:r>
      <w:r>
        <w:rPr>
          <w:rFonts w:ascii="Calibri" w:cs="Calibri" w:eastAsia="Calibri" w:hAnsi="Calibri"/>
          <w:i/>
          <w:iCs/>
          <w:sz w:val="22"/>
          <w:szCs w:val="22"/>
        </w:rPr>
        <w:t xml:space="preserve">Minimax Play at Wimbledon</w:t>
      </w:r>
      <w:r>
        <w:rPr>
          <w:rFonts w:ascii="Calibri" w:cs="Calibri" w:eastAsia="Calibri" w:hAnsi="Calibri"/>
          <w:color w:val="666666"/>
          <w:sz w:val="20"/>
          <w:szCs w:val="20"/>
        </w:rPr>
        <w:t xml:space="preserve"> DOI: 10.1257/aer.91.5.1521</w:t>
      </w:r>
      <w:r>
        <w:rPr>
          <w:rFonts w:ascii="Calibri" w:cs="Calibri" w:eastAsia="Calibri" w:hAnsi="Calibri"/>
          <w:color w:val="336699"/>
          <w:sz w:val="20"/>
          <w:szCs w:val="20"/>
        </w:rPr>
        <w:t xml:space="preserve"> https://www.aeaweb.org/articles?id=10.1257/aer.91.5.1521</w:t>
      </w:r>
    </w:p>
    <w:p>
      <w:pPr>
        <w:spacing w:after="40"/>
        <w:ind w:left="360"/>
      </w:pPr>
      <w:r>
        <w:rPr>
          <w:rFonts w:ascii="Calibri" w:cs="Calibri" w:eastAsia="Calibri" w:hAnsi="Calibri"/>
          <w:sz w:val="22"/>
          <w:szCs w:val="22"/>
        </w:rPr>
        <w:t xml:space="preserve">Empirical study of professional tennis serves showing that players' serving patterns are consistent with minimax play. Expected payoffs across different serve locations are approximately equal, as predicted by mixed-strategy equilibrium. Also found that choices exhibit some serial correlation, though overall patterns support equilibrium play.</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parallel empirical evidence from another sport (tennis) that professional athletes play mixed strategies. Useful for comparative discussion and shows the generality of mixed-strategy play in competitive sports. Demonstrates that the penalty kick result is not an isolated finding but part of broader empirical pattern.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2026-02-20T07:25:20.832Z</dcterms:created>
  <dcterms:modified xsi:type="dcterms:W3CDTF">2026-02-20T07:25:20.832Z</dcterms:modified>
</cp:coreProperties>
</file>

<file path=docProps/custom.xml><?xml version="1.0" encoding="utf-8"?>
<Properties xmlns="http://schemas.openxmlformats.org/officeDocument/2006/custom-properties" xmlns:vt="http://schemas.openxmlformats.org/officeDocument/2006/docPropsVTypes"/>
</file>