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Looking Ahead, Reasoning Back: The Logic of Sequential Games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foundations (Selten 1965, 1975), canonical applications (Stackelberg 1934, Selten 1978), pedagogical treatments (Osborne 2004, Rubinstein 1994), and empirical challenges (McKelvey &amp; Palfrey 1992, Güth et al. 1982) necessary for a comprehensive chapter on sequential games and backward induction. The theoretical sources establish the formal machinery of subgame perfection and explain why it refines Nash equilibrium by eliminating non-credible threats. The Stackelberg and chain store models provide concrete economic applications showing when first-mover advantages arise and when threats fail credibility tests. The textbooks offer clear pedagogical expositions suitable for undergraduate instruction. The experimental papers document systematic deviations from backward induction predictions in the centipede and ultimatum games, providing essential context for understanding the theory's scope and limitations. Together, these sources support the chapter's dual goals: teaching students the mechanics of backward induction and subgame perfect equilibrium while also preparing them to recognize when human behavior departs from theoretical predictions—a preview of behavioral game theory themes in later chapters. The sources span theoretical rigor, practical application, and empirical reality, giving students a complete understanding of both the power and boundaries of sequential game analysis.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Reinhard Selten (1975). </w:t>
      </w:r>
      <w:r>
        <w:rPr>
          <w:rFonts w:ascii="Calibri" w:cs="Calibri" w:eastAsia="Calibri" w:hAnsi="Calibri"/>
          <w:i/>
          <w:iCs/>
          <w:sz w:val="22"/>
          <w:szCs w:val="22"/>
        </w:rPr>
        <w:t xml:space="preserve">Reexamination of the perfectness concept for equilibrium points in extensive games</w:t>
      </w:r>
      <w:r>
        <w:rPr>
          <w:rFonts w:ascii="Calibri" w:cs="Calibri" w:eastAsia="Calibri" w:hAnsi="Calibri"/>
          <w:color w:val="666666"/>
          <w:sz w:val="20"/>
          <w:szCs w:val="20"/>
        </w:rPr>
        <w:t xml:space="preserve"> DOI: 10.1007/BF01766400</w:t>
      </w:r>
      <w:r>
        <w:rPr>
          <w:rFonts w:ascii="Calibri" w:cs="Calibri" w:eastAsia="Calibri" w:hAnsi="Calibri"/>
          <w:color w:val="336699"/>
          <w:sz w:val="20"/>
          <w:szCs w:val="20"/>
        </w:rPr>
        <w:t xml:space="preserve"> https://link.springer.com/article/10.1007/BF01766400</w:t>
      </w:r>
    </w:p>
    <w:p>
      <w:pPr>
        <w:spacing w:after="40"/>
        <w:ind w:left="360"/>
      </w:pPr>
      <w:r>
        <w:rPr>
          <w:rFonts w:ascii="Calibri" w:cs="Calibri" w:eastAsia="Calibri" w:hAnsi="Calibri"/>
          <w:sz w:val="22"/>
          <w:szCs w:val="22"/>
        </w:rPr>
        <w:t xml:space="preserve">Selten's seminal paper formally introduces and rigorously develops the concept of subgame perfect equilibrium as a refinement of Nash equilibrium. The paper addresses the problem that Nash equilibria may prescribe irrational behavior on unreached parts of the game tree, and proposes that equilibrium strategies must constitute Nash equilibria in every subgame. This foundational work provides the mathematical framework for backward induction and establishes the key insight that credible threats must be rational at every decision point.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theoretical paper that establishes subgame perfect equilibrium—the central concept of the chapter. Essential for understanding how backward induction eliminates non-credible threats and why rational play at every decision node is required.</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Reinhard Selten (1965). </w:t>
      </w:r>
      <w:r>
        <w:rPr>
          <w:rFonts w:ascii="Calibri" w:cs="Calibri" w:eastAsia="Calibri" w:hAnsi="Calibri"/>
          <w:i/>
          <w:iCs/>
          <w:sz w:val="22"/>
          <w:szCs w:val="22"/>
        </w:rPr>
        <w:t xml:space="preserve">Spieltheoretische Behandlung eines Oligopolmodells mit Nachfrageträgheit</w:t>
      </w:r>
      <w:r>
        <w:rPr>
          <w:rFonts w:ascii="Calibri" w:cs="Calibri" w:eastAsia="Calibri" w:hAnsi="Calibri"/>
          <w:color w:val="336699"/>
          <w:sz w:val="20"/>
          <w:szCs w:val="20"/>
        </w:rPr>
        <w:t xml:space="preserve"> https://www.jstor.org/stable/40748666</w:t>
      </w:r>
    </w:p>
    <w:p>
      <w:pPr>
        <w:spacing w:after="40"/>
        <w:ind w:left="360"/>
      </w:pPr>
      <w:r>
        <w:rPr>
          <w:rFonts w:ascii="Calibri" w:cs="Calibri" w:eastAsia="Calibri" w:hAnsi="Calibri"/>
          <w:sz w:val="22"/>
          <w:szCs w:val="22"/>
        </w:rPr>
        <w:t xml:space="preserve">Selten's first introduction of subgame perfection (in German), motivated by experimental oligopoly studies. This paper first articulates the idea that attention should focus on equilibria where players act rationally at every point, even though the term 'subgame perfect' was not introduced until the 1975 paper. The oligopoly context demonstrates how the concept applies to industrial organization problems.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Historical origin of subgame perfection concept, showing its emergence from practical oligopoly analysis. Important for understanding the intellectual development and original motivation for the refinement concept.</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Reinhard Selten (1978). </w:t>
      </w:r>
      <w:r>
        <w:rPr>
          <w:rFonts w:ascii="Calibri" w:cs="Calibri" w:eastAsia="Calibri" w:hAnsi="Calibri"/>
          <w:i/>
          <w:iCs/>
          <w:sz w:val="22"/>
          <w:szCs w:val="22"/>
        </w:rPr>
        <w:t xml:space="preserve">The Chain Store Paradox</w:t>
      </w:r>
      <w:r>
        <w:rPr>
          <w:rFonts w:ascii="Calibri" w:cs="Calibri" w:eastAsia="Calibri" w:hAnsi="Calibri"/>
          <w:color w:val="666666"/>
          <w:sz w:val="20"/>
          <w:szCs w:val="20"/>
        </w:rPr>
        <w:t xml:space="preserve"> DOI: 10.1007/BF00131770</w:t>
      </w:r>
      <w:r>
        <w:rPr>
          <w:rFonts w:ascii="Calibri" w:cs="Calibri" w:eastAsia="Calibri" w:hAnsi="Calibri"/>
          <w:color w:val="336699"/>
          <w:sz w:val="20"/>
          <w:szCs w:val="20"/>
        </w:rPr>
        <w:t xml:space="preserve"> https://link.springer.com/article/10.1007/BF00131770</w:t>
      </w:r>
    </w:p>
    <w:p>
      <w:pPr>
        <w:spacing w:after="40"/>
        <w:ind w:left="360"/>
      </w:pPr>
      <w:r>
        <w:rPr>
          <w:rFonts w:ascii="Calibri" w:cs="Calibri" w:eastAsia="Calibri" w:hAnsi="Calibri"/>
          <w:sz w:val="22"/>
          <w:szCs w:val="22"/>
        </w:rPr>
        <w:t xml:space="preserve">Analyzes the paradox of entry deterrence with sequential market entry. An incumbent firm facing multiple potential entrants might threaten to fight entry, but backward induction shows that fighting is irrational in the final subgame, which unravels the entire deterrence strategy. The paper examines when threats to fight entry are credible and questions whether classical rational analysis can fully explain observed behavior, previewing bounded rationality themes.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Classic application demonstrating non-credible threats and the power of backward induction reasoning. Directly illustrates the chapter's theme of distinguishing credible from non-credible threats in sequential contexts, and shows limitations of the theory.</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Martin J. Osborne (2004). </w:t>
      </w:r>
      <w:r>
        <w:rPr>
          <w:rFonts w:ascii="Calibri" w:cs="Calibri" w:eastAsia="Calibri" w:hAnsi="Calibri"/>
          <w:i/>
          <w:iCs/>
          <w:sz w:val="22"/>
          <w:szCs w:val="22"/>
        </w:rPr>
        <w:t xml:space="preserve">An Introduction to Game Theory</w:t>
      </w:r>
      <w:r>
        <w:rPr>
          <w:rFonts w:ascii="Calibri" w:cs="Calibri" w:eastAsia="Calibri" w:hAnsi="Calibri"/>
          <w:color w:val="336699"/>
          <w:sz w:val="20"/>
          <w:szCs w:val="20"/>
        </w:rPr>
        <w:t xml:space="preserve"> https://www.economics.utoronto.ca/osborne/igt/</w:t>
      </w:r>
    </w:p>
    <w:p>
      <w:pPr>
        <w:spacing w:after="40"/>
        <w:ind w:left="360"/>
      </w:pPr>
      <w:r>
        <w:rPr>
          <w:rFonts w:ascii="Calibri" w:cs="Calibri" w:eastAsia="Calibri" w:hAnsi="Calibri"/>
          <w:sz w:val="22"/>
          <w:szCs w:val="22"/>
        </w:rPr>
        <w:t xml:space="preserve">Comprehensive textbook treatment of extensive-form games with perfect information, including detailed exposition of backward induction, subgame perfect equilibrium, and the relationship between simultaneous and sequential games. Provides clear definitions, worked examples, and exercises comparing Nash equilibria in strategic form with subgame perfect equilibria in extensive form. Includes discussion of the Stackelberg model and applications.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Standard pedagogical reference providing clear, accessible treatment of all major chapter concepts. Excellent for instructors designing problem sets and for students learning the mechanics of backward induction and solving game trees.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Ariel Rubinstein (1994). </w:t>
      </w:r>
      <w:r>
        <w:rPr>
          <w:rFonts w:ascii="Calibri" w:cs="Calibri" w:eastAsia="Calibri" w:hAnsi="Calibri"/>
          <w:i/>
          <w:iCs/>
          <w:sz w:val="22"/>
          <w:szCs w:val="22"/>
        </w:rPr>
        <w:t xml:space="preserve">A Course in Game Theory</w:t>
      </w:r>
      <w:r>
        <w:rPr>
          <w:rFonts w:ascii="Calibri" w:cs="Calibri" w:eastAsia="Calibri" w:hAnsi="Calibri"/>
          <w:color w:val="336699"/>
          <w:sz w:val="20"/>
          <w:szCs w:val="20"/>
        </w:rPr>
        <w:t xml:space="preserve"> https://mitpress.mit.edu/9780262681001/a-course-in-game-theory/</w:t>
      </w:r>
    </w:p>
    <w:p>
      <w:pPr>
        <w:spacing w:after="40"/>
        <w:ind w:left="360"/>
      </w:pPr>
      <w:r>
        <w:rPr>
          <w:rFonts w:ascii="Calibri" w:cs="Calibri" w:eastAsia="Calibri" w:hAnsi="Calibri"/>
          <w:sz w:val="22"/>
          <w:szCs w:val="22"/>
        </w:rPr>
        <w:t xml:space="preserve">Advanced textbook providing rigorous treatment of extensive-form games, backward induction, and subgame perfect equilibrium. Includes formal definitions, theorems on existence and uniqueness in perfect information games, and discussion of the conceptual foundations of sequential rationality. Also addresses philosophical issues about the logic of backward induction and common knowledge of rationality.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advanced treatment suitable for upper-level students. Provides the mathematical rigor needed to understand why backward induction works and the conditions under which subgame perfect equilibria exist.</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Richard D. McKelvey and Thomas R. Palfrey (1992). </w:t>
      </w:r>
      <w:r>
        <w:rPr>
          <w:rFonts w:ascii="Calibri" w:cs="Calibri" w:eastAsia="Calibri" w:hAnsi="Calibri"/>
          <w:i/>
          <w:iCs/>
          <w:sz w:val="22"/>
          <w:szCs w:val="22"/>
        </w:rPr>
        <w:t xml:space="preserve">An experimental study of the Centipede game</w:t>
      </w:r>
      <w:r>
        <w:rPr>
          <w:rFonts w:ascii="Calibri" w:cs="Calibri" w:eastAsia="Calibri" w:hAnsi="Calibri"/>
          <w:color w:val="666666"/>
          <w:sz w:val="20"/>
          <w:szCs w:val="20"/>
        </w:rPr>
        <w:t xml:space="preserve"> DOI: 10.2307/2951734</w:t>
      </w:r>
      <w:r>
        <w:rPr>
          <w:rFonts w:ascii="Calibri" w:cs="Calibri" w:eastAsia="Calibri" w:hAnsi="Calibri"/>
          <w:color w:val="336699"/>
          <w:sz w:val="20"/>
          <w:szCs w:val="20"/>
        </w:rPr>
        <w:t xml:space="preserve"> https://www.jstor.org/stable/2951734</w:t>
      </w:r>
    </w:p>
    <w:p>
      <w:pPr>
        <w:spacing w:after="40"/>
        <w:ind w:left="360"/>
      </w:pPr>
      <w:r>
        <w:rPr>
          <w:rFonts w:ascii="Calibri" w:cs="Calibri" w:eastAsia="Calibri" w:hAnsi="Calibri"/>
          <w:sz w:val="22"/>
          <w:szCs w:val="22"/>
        </w:rPr>
        <w:t xml:space="preserve">Experimental investigation of play in the centipede game, where backward induction predicts immediate defection but subjects regularly continue the game for multiple rounds. The study documents systematic deviations from subgame perfect equilibrium predictions and explores bounded rationality explanations including limited foresight, altruism, and belief that opponents may not be fully rational. Introduces quantal response equilibrium as an alternative framework.</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reference for the chapter's discussion of when backward induction predictions diverge from human behavior. Demonstrates the empirical challenges to the theory and motivates behavioral extensions discussed in later chapters.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Werner Güth, Rolf Schmittberger, and Bernd Schwarze (1982). </w:t>
      </w:r>
      <w:r>
        <w:rPr>
          <w:rFonts w:ascii="Calibri" w:cs="Calibri" w:eastAsia="Calibri" w:hAnsi="Calibri"/>
          <w:i/>
          <w:iCs/>
          <w:sz w:val="22"/>
          <w:szCs w:val="22"/>
        </w:rPr>
        <w:t xml:space="preserve">An experimental analysis of ultimatum bargaining</w:t>
      </w:r>
      <w:r>
        <w:rPr>
          <w:rFonts w:ascii="Calibri" w:cs="Calibri" w:eastAsia="Calibri" w:hAnsi="Calibri"/>
          <w:color w:val="666666"/>
          <w:sz w:val="20"/>
          <w:szCs w:val="20"/>
        </w:rPr>
        <w:t xml:space="preserve"> DOI: 10.1016/0167-2681(82)90011-7</w:t>
      </w:r>
      <w:r>
        <w:rPr>
          <w:rFonts w:ascii="Calibri" w:cs="Calibri" w:eastAsia="Calibri" w:hAnsi="Calibri"/>
          <w:color w:val="336699"/>
          <w:sz w:val="20"/>
          <w:szCs w:val="20"/>
        </w:rPr>
        <w:t xml:space="preserve"> https://www.sciencedirect.com/science/article/abs/pii/0167268182900116</w:t>
      </w:r>
    </w:p>
    <w:p>
      <w:pPr>
        <w:spacing w:after="40"/>
        <w:ind w:left="360"/>
      </w:pPr>
      <w:r>
        <w:rPr>
          <w:rFonts w:ascii="Calibri" w:cs="Calibri" w:eastAsia="Calibri" w:hAnsi="Calibri"/>
          <w:sz w:val="22"/>
          <w:szCs w:val="22"/>
        </w:rPr>
        <w:t xml:space="preserve">The original experimental study introducing the ultimatum game, documenting that proposers typically offer 30-50% splits and responders frequently reject low offers below 20%, contradicting the backward induction prediction of minimal offers and universal acceptance. Results demonstrate concerns for fairness and reciprocity that violate narrow self-interest assumptions. Launched decades of experimental and behavioral research.</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empirical paper showing limitations of backward induction in predicting actual human behavior. Critical for the chapter's discussion of when theory and practice diverge, and for motivating the behavioral economics extensions in later chapters.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Heinrich Freiherr von Stackelberg (1934). </w:t>
      </w:r>
      <w:r>
        <w:rPr>
          <w:rFonts w:ascii="Calibri" w:cs="Calibri" w:eastAsia="Calibri" w:hAnsi="Calibri"/>
          <w:i/>
          <w:iCs/>
          <w:sz w:val="22"/>
          <w:szCs w:val="22"/>
        </w:rPr>
        <w:t xml:space="preserve">Stackelberg competition</w:t>
      </w:r>
      <w:r>
        <w:rPr>
          <w:rFonts w:ascii="Calibri" w:cs="Calibri" w:eastAsia="Calibri" w:hAnsi="Calibri"/>
          <w:color w:val="336699"/>
          <w:sz w:val="20"/>
          <w:szCs w:val="20"/>
        </w:rPr>
        <w:t xml:space="preserve"> https://en.wikipedia.org/wiki/Stackelberg_competition</w:t>
      </w:r>
    </w:p>
    <w:p>
      <w:pPr>
        <w:spacing w:after="40"/>
        <w:ind w:left="360"/>
      </w:pPr>
      <w:r>
        <w:rPr>
          <w:rFonts w:ascii="Calibri" w:cs="Calibri" w:eastAsia="Calibri" w:hAnsi="Calibri"/>
          <w:sz w:val="22"/>
          <w:szCs w:val="22"/>
        </w:rPr>
        <w:t xml:space="preserve">The original Stackelberg duopoly model demonstrates first-mover advantage in quantity competition. The leader firm commits to an output level, which the follower observes before choosing its own output. Backward induction shows the leader produces more than in Cournot equilibrium and earns higher profits. The model illustrates how commitment creates credible threats and how sequential timing advantages the first mover when reaction functions are downward-sloping.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Classic industrial organization application showing how sequential timing and commitment create first-mover advantage. Concrete example of backward induction in action and demonstration of when moving first is strategically beneficial.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2026-02-20T07:25:13.836Z</dcterms:created>
  <dcterms:modified xsi:type="dcterms:W3CDTF">2026-02-20T07:25:13.836Z</dcterms:modified>
</cp:coreProperties>
</file>

<file path=docProps/custom.xml><?xml version="1.0" encoding="utf-8"?>
<Properties xmlns="http://schemas.openxmlformats.org/officeDocument/2006/custom-properties" xmlns:vt="http://schemas.openxmlformats.org/officeDocument/2006/docPropsVTypes"/>
</file>