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The Strategy of Everything: An Introduction to Game Theory</w:t>
      </w:r>
    </w:p>
    <w:p>
      <w:pPr>
        <w:spacing w:after="200"/>
        <w:jc w:val="center"/>
      </w:pPr>
      <w:r>
        <w:rPr>
          <w:rFonts w:ascii="Calibri" w:cs="Calibri" w:eastAsia="Calibri" w:hAnsi="Calibri"/>
          <w:b/>
          <w:bCs/>
          <w:sz w:val="26"/>
          <w:szCs w:val="26"/>
        </w:rPr>
        <w:t xml:space="preserve">Hidden Knowledge: Bluffing, Signalling, and the Price of Information — Answer Key</w:t>
      </w:r>
    </w:p>
    <w:p>
      <w:pPr>
        <w:pStyle w:val="Heading2"/>
        <w:spacing w:before="200" w:after="120"/>
      </w:pPr>
      <w:r>
        <w:rPr>
          <w:rFonts w:ascii="Calibri" w:cs="Calibri" w:eastAsia="Calibri" w:hAnsi="Calibri"/>
          <w:b/>
          <w:bCs/>
          <w:sz w:val="24"/>
          <w:szCs w:val="24"/>
        </w:rPr>
        <w:t xml:space="preserve">Quick Reference</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gridCol w:w="100"/>
      </w:tblGrid>
      <w:tr>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Q#</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A</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B</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C</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D</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E</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2</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3</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4</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5</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6</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7</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8</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9</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10</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r>
    </w:tbl>
    <w:p>
      <w:pPr>
        <w:pStyle w:val="Heading2"/>
        <w:spacing w:before="400" w:after="200"/>
      </w:pPr>
      <w:r>
        <w:rPr>
          <w:rFonts w:ascii="Calibri" w:cs="Calibri" w:eastAsia="Calibri" w:hAnsi="Calibri"/>
          <w:b/>
          <w:bCs/>
          <w:sz w:val="24"/>
          <w:szCs w:val="24"/>
        </w:rPr>
        <w:t xml:space="preserve">Detailed Feedback</w:t>
      </w:r>
    </w:p>
    <w:p>
      <w:pPr>
        <w:spacing w:before="300" w:after="120"/>
      </w:pPr>
      <w:r>
        <w:rPr>
          <w:rFonts w:ascii="Calibri" w:cs="Calibri" w:eastAsia="Calibri" w:hAnsi="Calibri"/>
          <w:b/>
          <w:bCs/>
          <w:sz w:val="22"/>
          <w:szCs w:val="22"/>
        </w:rPr>
        <w:t xml:space="preserve">1. </w:t>
      </w:r>
      <w:r>
        <w:rPr>
          <w:rFonts w:ascii="Calibri" w:cs="Calibri" w:eastAsia="Calibri" w:hAnsi="Calibri"/>
          <w:b/>
          <w:bCs/>
          <w:sz w:val="22"/>
          <w:szCs w:val="22"/>
        </w:rPr>
        <w:t xml:space="preserve">In Harsanyi's framework for modelling games of incomplete information, what role does the fictitious player 'Nature' serve?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Nature randomly assigns hidden types to players at the start of the game according to a known probability distribution</w:t>
      </w:r>
    </w:p>
    <w:p>
      <w:pPr>
        <w:spacing w:after="120"/>
        <w:ind w:left="360"/>
      </w:pPr>
      <w:r>
        <w:rPr>
          <w:rFonts w:ascii="Calibri" w:cs="Calibri" w:eastAsia="Calibri" w:hAnsi="Calibri"/>
          <w:i/>
          <w:iCs/>
          <w:sz w:val="20"/>
          <w:szCs w:val="20"/>
        </w:rPr>
        <w:t xml:space="preserve">Harsanyi's key insight was to convert incomplete information into imperfect information by introducing Nature as a player who moves first, assigning types (such as high-ability or low-ability) according to a prior probability distribution that is common knowledge. This gives all players a shared starting point for forming beliefs, even though some players cannot observe the type that was assigned to others.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Nature determines the payoffs for all players after they have chosen their strategies using a predetermined rule, resolving any uncertainty</w:t>
      </w:r>
    </w:p>
    <w:p>
      <w:pPr>
        <w:spacing w:after="80"/>
        <w:ind w:left="360"/>
      </w:pPr>
      <w:r>
        <w:rPr>
          <w:rFonts w:ascii="Calibri" w:cs="Calibri" w:eastAsia="Calibri" w:hAnsi="Calibri"/>
          <w:i/>
          <w:iCs/>
          <w:sz w:val="20"/>
          <w:szCs w:val="20"/>
        </w:rPr>
        <w:t xml:space="preserve">A student might choose this because Nature does relate to payoff uncertainty, but Nature's move occurs at the beginning of the game, assigning types before players act. Payoffs are determined by the combination of types and strategies, not by a post-action resolution.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Nature allows each player to privately choose their own type, representing strategic self-selection</w:t>
      </w:r>
    </w:p>
    <w:p>
      <w:pPr>
        <w:spacing w:after="80"/>
        <w:ind w:left="360"/>
      </w:pPr>
      <w:r>
        <w:rPr>
          <w:rFonts w:ascii="Calibri" w:cs="Calibri" w:eastAsia="Calibri" w:hAnsi="Calibri"/>
          <w:i/>
          <w:iCs/>
          <w:sz w:val="20"/>
          <w:szCs w:val="20"/>
        </w:rPr>
        <w:t xml:space="preserve">This confuses type assignment with strategic choice. The entire point of Harsanyi's framework is that types are exogenous — assigned randomly by Nature, not chosen by players. If players chose their own types, the problem of hidden information would not arise in the same way.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Nature randomises the order in which players move, creating uncertainty about the game's sequence of play</w:t>
      </w:r>
    </w:p>
    <w:p>
      <w:pPr>
        <w:spacing w:after="80"/>
        <w:ind w:left="360"/>
      </w:pPr>
      <w:r>
        <w:rPr>
          <w:rFonts w:ascii="Calibri" w:cs="Calibri" w:eastAsia="Calibri" w:hAnsi="Calibri"/>
          <w:i/>
          <w:iCs/>
          <w:sz w:val="20"/>
          <w:szCs w:val="20"/>
        </w:rPr>
        <w:t xml:space="preserve">While some games do involve uncertainty about move order, this is not Nature's role in Harsanyi's Bayesian game framework. Nature specifically assigns hidden characteristics (types) to players, not the sequence of moves.</w:t>
      </w:r>
    </w:p>
    <w:p>
      <w:pPr>
        <w:pBdr>
          <w:bottom w:val="single" w:color="DDDDDD" w:sz="1"/>
        </w:pBdr>
        <w:spacing w:after="80"/>
      </w:pPr>
    </w:p>
    <w:p>
      <w:pPr>
        <w:spacing w:before="300" w:after="120"/>
      </w:pPr>
      <w:r>
        <w:rPr>
          <w:rFonts w:ascii="Calibri" w:cs="Calibri" w:eastAsia="Calibri" w:hAnsi="Calibri"/>
          <w:b/>
          <w:bCs/>
          <w:sz w:val="22"/>
          <w:szCs w:val="22"/>
        </w:rPr>
        <w:t xml:space="preserve">2. </w:t>
      </w:r>
      <w:r>
        <w:rPr>
          <w:rFonts w:ascii="Calibri" w:cs="Calibri" w:eastAsia="Calibri" w:hAnsi="Calibri"/>
          <w:b/>
          <w:bCs/>
          <w:sz w:val="22"/>
          <w:szCs w:val="22"/>
        </w:rPr>
        <w:t xml:space="preserve">A doctor knows that 1% of patients have a rare disease. A test is 95% accurate for true positives and has a 10% false positive rate. If a patient tests positive, what is the approximate Bayesian posterior probability that the patient actually has the disease?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Approximately 9%</w:t>
      </w:r>
    </w:p>
    <w:p>
      <w:pPr>
        <w:spacing w:after="120"/>
        <w:ind w:left="360"/>
      </w:pPr>
      <w:r>
        <w:rPr>
          <w:rFonts w:ascii="Calibri" w:cs="Calibri" w:eastAsia="Calibri" w:hAnsi="Calibri"/>
          <w:i/>
          <w:iCs/>
          <w:sz w:val="20"/>
          <w:szCs w:val="20"/>
        </w:rPr>
        <w:t xml:space="preserve">Using Bayes' rule: P(disease|positive) = P(positive|disease)×P(disease) / P(positive) = (0.95 × 0.01) / (0.95 × 0.01 + 0.10 × 0.99) = 0.0095 / (0.0095 + 0.099) ≈ 0.0095 / 0.1085 ≈ 8.8%. This classic result illustrates how a low prior probability can dominate even a fairly accurate test, a core lesson of Bayesian updating.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Approximately 90%</w:t>
      </w:r>
    </w:p>
    <w:p>
      <w:pPr>
        <w:spacing w:after="80"/>
        <w:ind w:left="360"/>
      </w:pPr>
      <w:r>
        <w:rPr>
          <w:rFonts w:ascii="Calibri" w:cs="Calibri" w:eastAsia="Calibri" w:hAnsi="Calibri"/>
          <w:i/>
          <w:iCs/>
          <w:sz w:val="20"/>
          <w:szCs w:val="20"/>
        </w:rPr>
        <w:t xml:space="preserve">A student might choose this by focusing only on the 95% accuracy rate and neglecting the base rate. This is the classic base-rate neglect fallacy — ignoring that the disease is so rare (1%) that false positives from the 99% of healthy patients vastly outnumber true positives.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Approximately 49%</w:t>
      </w:r>
    </w:p>
    <w:p>
      <w:pPr>
        <w:spacing w:after="80"/>
        <w:ind w:left="360"/>
      </w:pPr>
      <w:r>
        <w:rPr>
          <w:rFonts w:ascii="Calibri" w:cs="Calibri" w:eastAsia="Calibri" w:hAnsi="Calibri"/>
          <w:i/>
          <w:iCs/>
          <w:sz w:val="20"/>
          <w:szCs w:val="20"/>
        </w:rPr>
        <w:t xml:space="preserve">A student might arrive at this by incorrectly averaging or weighting the true positive rate and the false positive rate, rather than properly applying Bayes' rule. The correct calculation requires weighting each likelihood by its prior probability and normalising.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Approximately 1%</w:t>
      </w:r>
    </w:p>
    <w:p>
      <w:pPr>
        <w:spacing w:after="80"/>
        <w:ind w:left="360"/>
      </w:pPr>
      <w:r>
        <w:rPr>
          <w:rFonts w:ascii="Calibri" w:cs="Calibri" w:eastAsia="Calibri" w:hAnsi="Calibri"/>
          <w:i/>
          <w:iCs/>
          <w:sz w:val="20"/>
          <w:szCs w:val="20"/>
        </w:rPr>
        <w:t xml:space="preserve">A student might choose this thinking the positive test result provides no useful information, keeping the posterior equal to the prior. While the posterior is surprisingly low, the test does update the belief upward — from 1% to about 9% — because the test is still informative, just not as decisive as intuition might suggest.</w:t>
      </w:r>
    </w:p>
    <w:p>
      <w:pPr>
        <w:pBdr>
          <w:bottom w:val="single" w:color="DDDDDD" w:sz="1"/>
        </w:pBdr>
        <w:spacing w:after="80"/>
      </w:pPr>
    </w:p>
    <w:p>
      <w:pPr>
        <w:spacing w:before="300" w:after="120"/>
      </w:pPr>
      <w:r>
        <w:rPr>
          <w:rFonts w:ascii="Calibri" w:cs="Calibri" w:eastAsia="Calibri" w:hAnsi="Calibri"/>
          <w:b/>
          <w:bCs/>
          <w:sz w:val="22"/>
          <w:szCs w:val="22"/>
        </w:rPr>
        <w:t xml:space="preserve">3. </w:t>
      </w:r>
      <w:r>
        <w:rPr>
          <w:rFonts w:ascii="Calibri" w:cs="Calibri" w:eastAsia="Calibri" w:hAnsi="Calibri"/>
          <w:b/>
          <w:bCs/>
          <w:sz w:val="22"/>
          <w:szCs w:val="22"/>
        </w:rPr>
        <w:t xml:space="preserve">In Spence's job market signalling model, education functions as an effective signal of worker ability primarily because which condition holds?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cost of obtaining education is lower for high-ability workers than for low-ability workers</w:t>
      </w:r>
    </w:p>
    <w:p>
      <w:pPr>
        <w:spacing w:after="120"/>
        <w:ind w:left="360"/>
      </w:pPr>
      <w:r>
        <w:rPr>
          <w:rFonts w:ascii="Calibri" w:cs="Calibri" w:eastAsia="Calibri" w:hAnsi="Calibri"/>
          <w:i/>
          <w:iCs/>
          <w:sz w:val="20"/>
          <w:szCs w:val="20"/>
        </w:rPr>
        <w:t xml:space="preserve">The single-crossing property is the engine of Spence's model: signals work because they are differentially costly. High-ability workers find education less costly (in effort, time, or opportunity cost), so there exists an education level that high-ability workers are willing to obtain but low-ability workers are not. This cost differential, not education's direct effect on productivity, is what makes the signal credible.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Education directly increases the productivity of high-ability workers but not low-ability workers</w:t>
      </w:r>
    </w:p>
    <w:p>
      <w:pPr>
        <w:spacing w:after="80"/>
        <w:ind w:left="360"/>
      </w:pPr>
      <w:r>
        <w:rPr>
          <w:rFonts w:ascii="Calibri" w:cs="Calibri" w:eastAsia="Calibri" w:hAnsi="Calibri"/>
          <w:i/>
          <w:iCs/>
          <w:sz w:val="20"/>
          <w:szCs w:val="20"/>
        </w:rPr>
        <w:t xml:space="preserve">This is a natural assumption about education but misses Spence's provocative insight. In the pure signalling model, education may add zero productivity. The signal works entirely through differential cost, not through human capital accumulation. This is what makes the model so striking.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Employers can verify educational credentials more easily than they can observe innate ability</w:t>
      </w:r>
    </w:p>
    <w:p>
      <w:pPr>
        <w:spacing w:after="80"/>
        <w:ind w:left="360"/>
      </w:pPr>
      <w:r>
        <w:rPr>
          <w:rFonts w:ascii="Calibri" w:cs="Calibri" w:eastAsia="Calibri" w:hAnsi="Calibri"/>
          <w:i/>
          <w:iCs/>
          <w:sz w:val="20"/>
          <w:szCs w:val="20"/>
        </w:rPr>
        <w:t xml:space="preserve">While observability of the signal is a necessary background condition, it is not sufficient to explain why signalling works. Many observable actions could serve as signals; the key question is why education specifically separates types, and the answer lies in the differential cost structure, not mere observability.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High-ability workers value the wage premium from education more than low-ability workers do</w:t>
      </w:r>
    </w:p>
    <w:p>
      <w:pPr>
        <w:spacing w:after="80"/>
        <w:ind w:left="360"/>
      </w:pPr>
      <w:r>
        <w:rPr>
          <w:rFonts w:ascii="Calibri" w:cs="Calibri" w:eastAsia="Calibri" w:hAnsi="Calibri"/>
          <w:i/>
          <w:iCs/>
          <w:sz w:val="20"/>
          <w:szCs w:val="20"/>
        </w:rPr>
        <w:t xml:space="preserve">In Spence's standard model, both types of workers value higher wages equally. The separation comes from the cost side, not the benefit side. If both types valued the wage premium differently, that could also create separation, but this is not the mechanism Spence identified.</w:t>
      </w:r>
    </w:p>
    <w:p>
      <w:pPr>
        <w:pBdr>
          <w:bottom w:val="single" w:color="DDDDDD" w:sz="1"/>
        </w:pBdr>
        <w:spacing w:after="80"/>
      </w:pPr>
    </w:p>
    <w:p>
      <w:pPr>
        <w:spacing w:before="300" w:after="120"/>
      </w:pPr>
      <w:r>
        <w:rPr>
          <w:rFonts w:ascii="Calibri" w:cs="Calibri" w:eastAsia="Calibri" w:hAnsi="Calibri"/>
          <w:b/>
          <w:bCs/>
          <w:sz w:val="22"/>
          <w:szCs w:val="22"/>
        </w:rPr>
        <w:t xml:space="preserve">4. </w:t>
      </w:r>
      <w:r>
        <w:rPr>
          <w:rFonts w:ascii="Calibri" w:cs="Calibri" w:eastAsia="Calibri" w:hAnsi="Calibri"/>
          <w:b/>
          <w:bCs/>
          <w:sz w:val="22"/>
          <w:szCs w:val="22"/>
        </w:rPr>
        <w:t xml:space="preserve">An insurance company offers two plans: one with a low premium and high deductible, and another with a high premium and low deductible. Low-risk customers tend to choose the high-deductible plan while high-risk customers choose the low-deductible plan. This is an example of which mechanism?</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Screening through self-selection via a menu of contracts</w:t>
      </w:r>
    </w:p>
    <w:p>
      <w:pPr>
        <w:spacing w:after="120"/>
        <w:ind w:left="360"/>
      </w:pPr>
      <w:r>
        <w:rPr>
          <w:rFonts w:ascii="Calibri" w:cs="Calibri" w:eastAsia="Calibri" w:hAnsi="Calibri"/>
          <w:i/>
          <w:iCs/>
          <w:sz w:val="20"/>
          <w:szCs w:val="20"/>
        </w:rPr>
        <w:t xml:space="preserve">Screening occurs when the uninformed party (the insurer, who cannot observe risk type) designs a menu of options structured so that different types voluntarily sort themselves by their choices. The high-deductible plan is attractive to low-risk customers because they expect few claims, while high-risk customers prefer comprehensive coverage. The insurer extracts hidden information through contract design, not by observing a costly signal sent by the informed party.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Signalling by informed customers about their risk type</w:t>
      </w:r>
    </w:p>
    <w:p>
      <w:pPr>
        <w:spacing w:after="80"/>
        <w:ind w:left="360"/>
      </w:pPr>
      <w:r>
        <w:rPr>
          <w:rFonts w:ascii="Calibri" w:cs="Calibri" w:eastAsia="Calibri" w:hAnsi="Calibri"/>
          <w:i/>
          <w:iCs/>
          <w:sz w:val="20"/>
          <w:szCs w:val="20"/>
        </w:rPr>
        <w:t xml:space="preserve">This reverses who initiates the information revelation. In signalling, the informed party (the customer) takes a costly action to reveal type. Here, it is the uninformed party (the insurer) that designs the menu. The customers simply choose from options presented to them, which is the hallmark of screening, not signalling.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Cheap talk in which customers verbally report their risk level</w:t>
      </w:r>
    </w:p>
    <w:p>
      <w:pPr>
        <w:spacing w:after="80"/>
        <w:ind w:left="360"/>
      </w:pPr>
      <w:r>
        <w:rPr>
          <w:rFonts w:ascii="Calibri" w:cs="Calibri" w:eastAsia="Calibri" w:hAnsi="Calibri"/>
          <w:i/>
          <w:iCs/>
          <w:sz w:val="20"/>
          <w:szCs w:val="20"/>
        </w:rPr>
        <w:t xml:space="preserve">Cheap talk involves costless messages, such as customers simply claiming to be low-risk. Since high-risk customers would have every incentive to make the same claim, cheap talk cannot credibly separate types here. The insurance example involves real financial consequences tied to plan choice, not mere communication.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Bayesian updating by the insurer based on prior claims history</w:t>
      </w:r>
    </w:p>
    <w:p>
      <w:pPr>
        <w:spacing w:after="80"/>
        <w:ind w:left="360"/>
      </w:pPr>
      <w:r>
        <w:rPr>
          <w:rFonts w:ascii="Calibri" w:cs="Calibri" w:eastAsia="Calibri" w:hAnsi="Calibri"/>
          <w:i/>
          <w:iCs/>
          <w:sz w:val="20"/>
          <w:szCs w:val="20"/>
        </w:rPr>
        <w:t xml:space="preserve">While insurers do use claims history, the scenario describes contract design at the point of initial purchase, before any claims are filed. The mechanism at work is self-selection induced by menu design, not belief revision based on observed evidence over time.</w:t>
      </w:r>
    </w:p>
    <w:p>
      <w:pPr>
        <w:pBdr>
          <w:bottom w:val="single" w:color="DDDDDD" w:sz="1"/>
        </w:pBdr>
        <w:spacing w:after="80"/>
      </w:pPr>
    </w:p>
    <w:p>
      <w:pPr>
        <w:spacing w:before="300" w:after="120"/>
      </w:pPr>
      <w:r>
        <w:rPr>
          <w:rFonts w:ascii="Calibri" w:cs="Calibri" w:eastAsia="Calibri" w:hAnsi="Calibri"/>
          <w:b/>
          <w:bCs/>
          <w:sz w:val="22"/>
          <w:szCs w:val="22"/>
        </w:rPr>
        <w:t xml:space="preserve">5. </w:t>
      </w:r>
      <w:r>
        <w:rPr>
          <w:rFonts w:ascii="Calibri" w:cs="Calibri" w:eastAsia="Calibri" w:hAnsi="Calibri"/>
          <w:b/>
          <w:bCs/>
          <w:sz w:val="22"/>
          <w:szCs w:val="22"/>
        </w:rPr>
        <w:t xml:space="preserve">In a signalling game, what defines a separating equilibrium?</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Each type of the informed player chooses a different action, allowing the uninformed player to perfectly infer the sender's type</w:t>
      </w:r>
    </w:p>
    <w:p>
      <w:pPr>
        <w:spacing w:after="120"/>
        <w:ind w:left="360"/>
      </w:pPr>
      <w:r>
        <w:rPr>
          <w:rFonts w:ascii="Calibri" w:cs="Calibri" w:eastAsia="Calibri" w:hAnsi="Calibri"/>
          <w:i/>
          <w:iCs/>
          <w:sz w:val="20"/>
          <w:szCs w:val="20"/>
        </w:rPr>
        <w:t xml:space="preserve">In a separating equilibrium, the signal perfectly reveals information: each type takes a distinct action, so the uninformed player can update beliefs to certainty about which type they are facing. This is possible when the signal cost differs enough between types that one type finds it worthwhile to signal and the other does not.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All types of the informed player choose the same action, so the uninformed player learns nothing new</w:t>
      </w:r>
    </w:p>
    <w:p>
      <w:pPr>
        <w:spacing w:after="80"/>
        <w:ind w:left="360"/>
      </w:pPr>
      <w:r>
        <w:rPr>
          <w:rFonts w:ascii="Calibri" w:cs="Calibri" w:eastAsia="Calibri" w:hAnsi="Calibri"/>
          <w:i/>
          <w:iCs/>
          <w:sz w:val="20"/>
          <w:szCs w:val="20"/>
        </w:rPr>
        <w:t xml:space="preserve">This describes a pooling equilibrium, not a separating one. In a pooling equilibrium, all types mimic the same behavior, and the uninformed player's posterior beliefs remain equal to their prior. The inability to distinguish types is the defining feature of pooling.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informed player randomises between actions, and the uninformed player uses Bayesian updating to partially infer type</w:t>
      </w:r>
    </w:p>
    <w:p>
      <w:pPr>
        <w:spacing w:after="80"/>
        <w:ind w:left="360"/>
      </w:pPr>
      <w:r>
        <w:rPr>
          <w:rFonts w:ascii="Calibri" w:cs="Calibri" w:eastAsia="Calibri" w:hAnsi="Calibri"/>
          <w:i/>
          <w:iCs/>
          <w:sz w:val="20"/>
          <w:szCs w:val="20"/>
        </w:rPr>
        <w:t xml:space="preserve">This describes a semi-separating (or partial pooling) equilibrium, where some but not complete information is revealed through mixed strategies. In a fully separating equilibrium, there is no randomisation — each type deterministically chooses a distinct action.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uninformed player designs a menu of options and the informed player's choice among them reveals their type through revealed preference</w:t>
      </w:r>
    </w:p>
    <w:p>
      <w:pPr>
        <w:spacing w:after="80"/>
        <w:ind w:left="360"/>
      </w:pPr>
      <w:r>
        <w:rPr>
          <w:rFonts w:ascii="Calibri" w:cs="Calibri" w:eastAsia="Calibri" w:hAnsi="Calibri"/>
          <w:i/>
          <w:iCs/>
          <w:sz w:val="20"/>
          <w:szCs w:val="20"/>
        </w:rPr>
        <w:t xml:space="preserve">This describes screening, not a separating equilibrium in a signalling game. While the outcome is similar (types are revealed), the key distinction is who moves first: in signalling, the informed party initiates the action; in screening, the uninformed party designs the mechanism.</w:t>
      </w:r>
    </w:p>
    <w:p>
      <w:pPr>
        <w:pBdr>
          <w:bottom w:val="single" w:color="DDDDDD" w:sz="1"/>
        </w:pBdr>
        <w:spacing w:after="80"/>
      </w:pPr>
    </w:p>
    <w:p>
      <w:pPr>
        <w:spacing w:before="300" w:after="120"/>
      </w:pPr>
      <w:r>
        <w:rPr>
          <w:rFonts w:ascii="Calibri" w:cs="Calibri" w:eastAsia="Calibri" w:hAnsi="Calibri"/>
          <w:b/>
          <w:bCs/>
          <w:sz w:val="22"/>
          <w:szCs w:val="22"/>
        </w:rPr>
        <w:t xml:space="preserve">6. </w:t>
      </w:r>
      <w:r>
        <w:rPr>
          <w:rFonts w:ascii="Calibri" w:cs="Calibri" w:eastAsia="Calibri" w:hAnsi="Calibri"/>
          <w:b/>
          <w:bCs/>
          <w:sz w:val="22"/>
          <w:szCs w:val="22"/>
        </w:rPr>
        <w:t xml:space="preserve">A politician promises to cut taxes while also increasing spending on social programs. Why would game theory classify this as cheap talk rather than a credible signal?</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promise is costless to make and carries no penalty if broken, so all types of politicians have an incentive to make it</w:t>
      </w:r>
    </w:p>
    <w:p>
      <w:pPr>
        <w:spacing w:after="120"/>
        <w:ind w:left="360"/>
      </w:pPr>
      <w:r>
        <w:rPr>
          <w:rFonts w:ascii="Calibri" w:cs="Calibri" w:eastAsia="Calibri" w:hAnsi="Calibri"/>
          <w:i/>
          <w:iCs/>
          <w:sz w:val="20"/>
          <w:szCs w:val="20"/>
        </w:rPr>
        <w:t xml:space="preserve">Cheap talk consists of costless, non-binding messages. Since making a campaign promise costs nothing and there is no enforceable penalty for breaking it, every politician — regardless of their true intentions or competence — has an incentive to make popular promises. The message does not satisfy the differential cost condition required for a credible signal, which is why voters rationally discount such promises.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promise is contradictory and therefore logically impossible to fulfil</w:t>
      </w:r>
    </w:p>
    <w:p>
      <w:pPr>
        <w:spacing w:after="80"/>
        <w:ind w:left="360"/>
      </w:pPr>
      <w:r>
        <w:rPr>
          <w:rFonts w:ascii="Calibri" w:cs="Calibri" w:eastAsia="Calibri" w:hAnsi="Calibri"/>
          <w:i/>
          <w:iCs/>
          <w:sz w:val="20"/>
          <w:szCs w:val="20"/>
        </w:rPr>
        <w:t xml:space="preserve">While the economic tension in the promise might make a student choose this answer, cheap talk is not defined by whether a promise is internally consistent. Even a perfectly feasible promise would be cheap talk if it is costless to make and non-binding. The game-theoretic classification depends on the cost structure of the message, not its logical coherence.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Politicians are uninformed parties who do not know their own type when making promises</w:t>
      </w:r>
    </w:p>
    <w:p>
      <w:pPr>
        <w:spacing w:after="80"/>
        <w:ind w:left="360"/>
      </w:pPr>
      <w:r>
        <w:rPr>
          <w:rFonts w:ascii="Calibri" w:cs="Calibri" w:eastAsia="Calibri" w:hAnsi="Calibri"/>
          <w:i/>
          <w:iCs/>
          <w:sz w:val="20"/>
          <w:szCs w:val="20"/>
        </w:rPr>
        <w:t xml:space="preserve">In the signalling framework, the informed party (the politician) does know their own type — their true policy intentions and ability. The issue is not self-knowledge but rather that voters (the uninformed party) cannot distinguish types because the message is costless for all types to send.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Voters use Bayesian updating to fully discount any information from campaign promises</w:t>
      </w:r>
    </w:p>
    <w:p>
      <w:pPr>
        <w:spacing w:after="80"/>
        <w:ind w:left="360"/>
      </w:pPr>
      <w:r>
        <w:rPr>
          <w:rFonts w:ascii="Calibri" w:cs="Calibri" w:eastAsia="Calibri" w:hAnsi="Calibri"/>
          <w:i/>
          <w:iCs/>
          <w:sz w:val="20"/>
          <w:szCs w:val="20"/>
        </w:rPr>
        <w:t xml:space="preserve">While voters may rationally be skeptical, the reason cheap talk is potentially uninformative is structural — it stems from the zero-cost nature of the message — not from voters' specific updating process. Moreover, game theory shows cheap talk can sometimes convey partial information when interests partially align, so full discounting is not automatic.</w:t>
      </w:r>
    </w:p>
    <w:p>
      <w:pPr>
        <w:pBdr>
          <w:bottom w:val="single" w:color="DDDDDD" w:sz="1"/>
        </w:pBdr>
        <w:spacing w:after="80"/>
      </w:pPr>
    </w:p>
    <w:p>
      <w:pPr>
        <w:spacing w:before="300" w:after="120"/>
      </w:pPr>
      <w:r>
        <w:rPr>
          <w:rFonts w:ascii="Calibri" w:cs="Calibri" w:eastAsia="Calibri" w:hAnsi="Calibri"/>
          <w:b/>
          <w:bCs/>
          <w:sz w:val="22"/>
          <w:szCs w:val="22"/>
        </w:rPr>
        <w:t xml:space="preserve">7. </w:t>
      </w:r>
      <w:r>
        <w:rPr>
          <w:rFonts w:ascii="Calibri" w:cs="Calibri" w:eastAsia="Calibri" w:hAnsi="Calibri"/>
          <w:b/>
          <w:bCs/>
          <w:sz w:val="22"/>
          <w:szCs w:val="22"/>
        </w:rPr>
        <w:t xml:space="preserve">A peacock's elaborate tail is often cited as an analogy to Spence's education signal. What specific property makes the peacock's tail function as a credible signal of genetic fitness?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tail is a survival handicap that only genetically fit peacocks can afford to bear, making it too costly for weak peacocks to imitate</w:t>
      </w:r>
    </w:p>
    <w:p>
      <w:pPr>
        <w:spacing w:after="120"/>
        <w:ind w:left="360"/>
      </w:pPr>
      <w:r>
        <w:rPr>
          <w:rFonts w:ascii="Calibri" w:cs="Calibri" w:eastAsia="Calibri" w:hAnsi="Calibri"/>
          <w:i/>
          <w:iCs/>
          <w:sz w:val="20"/>
          <w:szCs w:val="20"/>
        </w:rPr>
        <w:t xml:space="preserve">This mirrors the single-crossing property in Spence's model. The peacock's tail is a genuine handicap — it attracts predators and consumes energy — but genetically fit peacocks can bear this cost while unfit ones cannot survive with it. The signal is credible precisely because it is costly and differentially so across types, which is the same logic that makes costly education work as a signal of ability.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Peahens have evolved an innate preference for large tails, which directly indicates good genes through biological correlation and trait heritability</w:t>
      </w:r>
    </w:p>
    <w:p>
      <w:pPr>
        <w:spacing w:after="80"/>
        <w:ind w:left="360"/>
      </w:pPr>
      <w:r>
        <w:rPr>
          <w:rFonts w:ascii="Calibri" w:cs="Calibri" w:eastAsia="Calibri" w:hAnsi="Calibri"/>
          <w:i/>
          <w:iCs/>
          <w:sz w:val="20"/>
          <w:szCs w:val="20"/>
        </w:rPr>
        <w:t xml:space="preserve">This describes a direct indicator view rather than the signalling logic. The game-theoretic insight is not that tails happen to correlate with fitness but that the tail works as a signal because of its differential cost structure — the handicap principle. The analogy to Spence's model depends on the costly-to-fake mechanism, not mere biological correlation.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Peacocks with elaborate tails form a pooling equilibrium where all males display equally, and peahens choose randomly</w:t>
      </w:r>
    </w:p>
    <w:p>
      <w:pPr>
        <w:spacing w:after="80"/>
        <w:ind w:left="360"/>
      </w:pPr>
      <w:r>
        <w:rPr>
          <w:rFonts w:ascii="Calibri" w:cs="Calibri" w:eastAsia="Calibri" w:hAnsi="Calibri"/>
          <w:i/>
          <w:iCs/>
          <w:sz w:val="20"/>
          <w:szCs w:val="20"/>
        </w:rPr>
        <w:t xml:space="preserve">This would mean the tail conveys no information, which contradicts the premise that it signals fitness. The peacock's tail exemplifies a separating outcome: fit peacocks display elaborate tails while unfit peacocks cannot, allowing peahens to distinguish between types.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tail is a form of cheap talk because it evolved through natural selection rather than being a deliberate strategic choice by individuals</w:t>
      </w:r>
    </w:p>
    <w:p>
      <w:pPr>
        <w:spacing w:after="80"/>
        <w:ind w:left="360"/>
      </w:pPr>
      <w:r>
        <w:rPr>
          <w:rFonts w:ascii="Calibri" w:cs="Calibri" w:eastAsia="Calibri" w:hAnsi="Calibri"/>
          <w:i/>
          <w:iCs/>
          <w:sz w:val="20"/>
          <w:szCs w:val="20"/>
        </w:rPr>
        <w:t xml:space="preserve">Whether a signal arises from conscious strategy or evolutionary pressure does not determine whether it is cheap talk. Cheap talk is defined by being costless to produce. The peacock's tail is enormously costly in survival terms, which is precisely what makes it an effective signal rather than cheap talk.</w:t>
      </w:r>
    </w:p>
    <w:p>
      <w:pPr>
        <w:pBdr>
          <w:bottom w:val="single" w:color="DDDDDD" w:sz="1"/>
        </w:pBdr>
        <w:spacing w:after="80"/>
      </w:pPr>
    </w:p>
    <w:p>
      <w:pPr>
        <w:spacing w:before="300" w:after="120"/>
      </w:pPr>
      <w:r>
        <w:rPr>
          <w:rFonts w:ascii="Calibri" w:cs="Calibri" w:eastAsia="Calibri" w:hAnsi="Calibri"/>
          <w:b/>
          <w:bCs/>
          <w:sz w:val="22"/>
          <w:szCs w:val="22"/>
        </w:rPr>
        <w:t xml:space="preserve">8. </w:t>
      </w:r>
      <w:r>
        <w:rPr>
          <w:rFonts w:ascii="Calibri" w:cs="Calibri" w:eastAsia="Calibri" w:hAnsi="Calibri"/>
          <w:b/>
          <w:bCs/>
          <w:sz w:val="22"/>
          <w:szCs w:val="22"/>
        </w:rPr>
        <w:t xml:space="preserve">In a pooling equilibrium of a signalling game, how do the uninformed player's posterior beliefs compare to their prior beliefs after observing the signal?</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Posterior beliefs remain equal to the prior beliefs because the signal provides no new information about the sender's type</w:t>
      </w:r>
    </w:p>
    <w:p>
      <w:pPr>
        <w:spacing w:after="120"/>
        <w:ind w:left="360"/>
      </w:pPr>
      <w:r>
        <w:rPr>
          <w:rFonts w:ascii="Calibri" w:cs="Calibri" w:eastAsia="Calibri" w:hAnsi="Calibri"/>
          <w:i/>
          <w:iCs/>
          <w:sz w:val="20"/>
          <w:szCs w:val="20"/>
        </w:rPr>
        <w:t xml:space="preserve">When all types send the same signal in a pooling equilibrium, observing that signal cannot help the uninformed player distinguish between types. By Bayes' rule, if P(signal|type H) = P(signal|type L) = 1, the posterior distribution over types is identical to the prior. No learning occurs on the equilibrium path because the action carries no differential information.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Posterior beliefs shift to certainty about the sender's type because the signal is observed directly by the uninformed player</w:t>
      </w:r>
    </w:p>
    <w:p>
      <w:pPr>
        <w:spacing w:after="80"/>
        <w:ind w:left="360"/>
      </w:pPr>
      <w:r>
        <w:rPr>
          <w:rFonts w:ascii="Calibri" w:cs="Calibri" w:eastAsia="Calibri" w:hAnsi="Calibri"/>
          <w:i/>
          <w:iCs/>
          <w:sz w:val="20"/>
          <w:szCs w:val="20"/>
        </w:rPr>
        <w:t xml:space="preserve">This would describe a separating equilibrium, not a pooling one. Merely observing a signal does not guarantee learning — what matters is whether different types send different signals. In pooling, they do not, so the signal is uninformative.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Posterior beliefs are determined entirely by the cost of the signal, independent of prior beliefs</w:t>
      </w:r>
    </w:p>
    <w:p>
      <w:pPr>
        <w:spacing w:after="80"/>
        <w:ind w:left="360"/>
      </w:pPr>
      <w:r>
        <w:rPr>
          <w:rFonts w:ascii="Calibri" w:cs="Calibri" w:eastAsia="Calibri" w:hAnsi="Calibri"/>
          <w:i/>
          <w:iCs/>
          <w:sz w:val="20"/>
          <w:szCs w:val="20"/>
        </w:rPr>
        <w:t xml:space="preserve">Bayesian updating always incorporates both the prior and the likelihood. While signal costs matter for determining which equilibrium arises, the posterior calculation itself follows Bayes' rule and cannot discard the prior. In pooling specifically, the likelihoods are equal across types, so the prior dominates.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Posterior beliefs shift to a fifty-fifty split between types regardless of the prior distribution</w:t>
      </w:r>
    </w:p>
    <w:p>
      <w:pPr>
        <w:spacing w:after="80"/>
        <w:ind w:left="360"/>
      </w:pPr>
      <w:r>
        <w:rPr>
          <w:rFonts w:ascii="Calibri" w:cs="Calibri" w:eastAsia="Calibri" w:hAnsi="Calibri"/>
          <w:i/>
          <w:iCs/>
          <w:sz w:val="20"/>
          <w:szCs w:val="20"/>
        </w:rPr>
        <w:t xml:space="preserve">There is no reason for beliefs to default to equal probabilities. Bayesian updating preserves the prior when no new information is received. If the prior was 70-30, the posterior in a pooling equilibrium remains 70-30, not 50-50.</w:t>
      </w:r>
    </w:p>
    <w:p>
      <w:pPr>
        <w:pBdr>
          <w:bottom w:val="single" w:color="DDDDDD" w:sz="1"/>
        </w:pBdr>
        <w:spacing w:after="80"/>
      </w:pPr>
    </w:p>
    <w:p>
      <w:pPr>
        <w:spacing w:before="300" w:after="120"/>
      </w:pPr>
      <w:r>
        <w:rPr>
          <w:rFonts w:ascii="Calibri" w:cs="Calibri" w:eastAsia="Calibri" w:hAnsi="Calibri"/>
          <w:b/>
          <w:bCs/>
          <w:sz w:val="22"/>
          <w:szCs w:val="22"/>
        </w:rPr>
        <w:t xml:space="preserve">9. </w:t>
      </w:r>
      <w:r>
        <w:rPr>
          <w:rFonts w:ascii="Calibri" w:cs="Calibri" w:eastAsia="Calibri" w:hAnsi="Calibri"/>
          <w:b/>
          <w:bCs/>
          <w:sz w:val="22"/>
          <w:szCs w:val="22"/>
        </w:rPr>
        <w:t xml:space="preserve">A startup burns through cash on lavish office space and expensive marketing before generating revenue. Investors interpret this as a positive indicator of the startup's confidence in its product. Under what condition does this costly expenditure function as a valid separating signal?</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Startups with genuinely strong products expect future profits that justify the burn rate, while weak startups would go bankrupt before recouping the costs</w:t>
      </w:r>
    </w:p>
    <w:p>
      <w:pPr>
        <w:spacing w:after="120"/>
        <w:ind w:left="360"/>
      </w:pPr>
      <w:r>
        <w:rPr>
          <w:rFonts w:ascii="Calibri" w:cs="Calibri" w:eastAsia="Calibri" w:hAnsi="Calibri"/>
          <w:i/>
          <w:iCs/>
          <w:sz w:val="20"/>
          <w:szCs w:val="20"/>
        </w:rPr>
        <w:t xml:space="preserve">This is the single-crossing condition applied to startup financing. The signal (lavish spending) is credible only if the expected payoff from signalling differs by type. Strong startups anticipate high future revenues that offset the burn, making the expenditure a rational investment. Weak startups, expecting lower or no future revenues, cannot justify the cost and would destroy themselves by imitating. The differential expected return is what separates types.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Investors interpret high spending as a signal because all successful companies in the past spent heavily before profitability</w:t>
      </w:r>
    </w:p>
    <w:p>
      <w:pPr>
        <w:spacing w:after="80"/>
        <w:ind w:left="360"/>
      </w:pPr>
      <w:r>
        <w:rPr>
          <w:rFonts w:ascii="Calibri" w:cs="Calibri" w:eastAsia="Calibri" w:hAnsi="Calibri"/>
          <w:i/>
          <w:iCs/>
          <w:sz w:val="20"/>
          <w:szCs w:val="20"/>
        </w:rPr>
        <w:t xml:space="preserve">This confuses correlation with the game-theoretic mechanism. The signalling model does not rely on historical pattern matching but on the structural incentive for weak types not to imitate the signal. A purely correlational argument ignores why weak startups would not also spend lavishly if doing so attracted investment.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spending is a form of cheap talk because it communicates confidence without directly improving the product</w:t>
      </w:r>
    </w:p>
    <w:p>
      <w:pPr>
        <w:spacing w:after="80"/>
        <w:ind w:left="360"/>
      </w:pPr>
      <w:r>
        <w:rPr>
          <w:rFonts w:ascii="Calibri" w:cs="Calibri" w:eastAsia="Calibri" w:hAnsi="Calibri"/>
          <w:i/>
          <w:iCs/>
          <w:sz w:val="20"/>
          <w:szCs w:val="20"/>
        </w:rPr>
        <w:t xml:space="preserve">Cheap talk is defined by being costless, not by being unrelated to production. Burning cash is extremely costly, which is precisely what makes it different from cheap talk. The signal's credibility comes from its cost, not from whether it directly enhances the product.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Both strong and weak startups spend lavishly because the investor funding makes the expenditure costless to the founders</w:t>
      </w:r>
    </w:p>
    <w:p>
      <w:pPr>
        <w:spacing w:after="80"/>
        <w:ind w:left="360"/>
      </w:pPr>
      <w:r>
        <w:rPr>
          <w:rFonts w:ascii="Calibri" w:cs="Calibri" w:eastAsia="Calibri" w:hAnsi="Calibri"/>
          <w:i/>
          <w:iCs/>
          <w:sz w:val="20"/>
          <w:szCs w:val="20"/>
        </w:rPr>
        <w:t xml:space="preserve">If the expenditure were truly costless to all types, it would become uninformative — a pooling outcome, not a separating signal. For the signal to work, there must be a meaningful cost borne differentially. If founders bear risk through equity dilution, personal reputation, or loss of the company, the cost is real and type-dependent.</w:t>
      </w:r>
    </w:p>
    <w:p>
      <w:pPr>
        <w:pBdr>
          <w:bottom w:val="single" w:color="DDDDDD" w:sz="1"/>
        </w:pBdr>
        <w:spacing w:after="80"/>
      </w:pPr>
    </w:p>
    <w:p>
      <w:pPr>
        <w:spacing w:before="300" w:after="120"/>
      </w:pPr>
      <w:r>
        <w:rPr>
          <w:rFonts w:ascii="Calibri" w:cs="Calibri" w:eastAsia="Calibri" w:hAnsi="Calibri"/>
          <w:b/>
          <w:bCs/>
          <w:sz w:val="22"/>
          <w:szCs w:val="22"/>
        </w:rPr>
        <w:t xml:space="preserve">10. </w:t>
      </w:r>
      <w:r>
        <w:rPr>
          <w:rFonts w:ascii="Calibri" w:cs="Calibri" w:eastAsia="Calibri" w:hAnsi="Calibri"/>
          <w:b/>
          <w:bCs/>
          <w:sz w:val="22"/>
          <w:szCs w:val="22"/>
        </w:rPr>
        <w:t xml:space="preserve">How does the concept of credible signals in this chapter connect to the concept of credible threats from the analysis of sequential games?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Both derive credibility from costly commitment — a signal is credible because it is too expensive to fake, just as a threat is credible because it is too costly to back down from</w:t>
      </w:r>
    </w:p>
    <w:p>
      <w:pPr>
        <w:spacing w:after="120"/>
        <w:ind w:left="360"/>
      </w:pPr>
      <w:r>
        <w:rPr>
          <w:rFonts w:ascii="Calibri" w:cs="Calibri" w:eastAsia="Calibri" w:hAnsi="Calibri"/>
          <w:i/>
          <w:iCs/>
          <w:sz w:val="20"/>
          <w:szCs w:val="20"/>
        </w:rPr>
        <w:t xml:space="preserve">This connection is fundamental: credibility in game theory always depends on a cost structure that makes deception or bluffing irrational. A signal works because low-quality types find it too costly to imitate high-quality types. A threat works because the player has committed in a way that makes not following through more costly than carrying out the threat. In both cases, credibility is not about trust or reputation but about the underlying incentive structure making the action self-enforcing.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Both require players to have complete information about each other's payoffs for the equilibrium to hold</w:t>
      </w:r>
    </w:p>
    <w:p>
      <w:pPr>
        <w:spacing w:after="80"/>
        <w:ind w:left="360"/>
      </w:pPr>
      <w:r>
        <w:rPr>
          <w:rFonts w:ascii="Calibri" w:cs="Calibri" w:eastAsia="Calibri" w:hAnsi="Calibri"/>
          <w:i/>
          <w:iCs/>
          <w:sz w:val="20"/>
          <w:szCs w:val="20"/>
        </w:rPr>
        <w:t xml:space="preserve">This directly contradicts the chapter's premise. Signalling games are specifically designed for incomplete information settings. Credible threats in sequential games may involve complete information, but the parallel between signals and threats is about costly commitment, not the information structure of the game.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Both work because players are assumed to be risk-averse and therefore avoid uncertain outcomes whenever possible</w:t>
      </w:r>
    </w:p>
    <w:p>
      <w:pPr>
        <w:spacing w:after="80"/>
        <w:ind w:left="360"/>
      </w:pPr>
      <w:r>
        <w:rPr>
          <w:rFonts w:ascii="Calibri" w:cs="Calibri" w:eastAsia="Calibri" w:hAnsi="Calibri"/>
          <w:i/>
          <w:iCs/>
          <w:sz w:val="20"/>
          <w:szCs w:val="20"/>
        </w:rPr>
        <w:t xml:space="preserve">Risk aversion is not the mechanism underlying either concept. Credible signals work through differential costs across types, and credible threats work through commitment that changes the payoff structure. Both function even with risk-neutral players, as the standard models typically assume.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Both rely on repeated game interactions where players build reputations over time for honest signalling and following through on threats</w:t>
      </w:r>
    </w:p>
    <w:p>
      <w:pPr>
        <w:spacing w:after="80"/>
        <w:ind w:left="360"/>
      </w:pPr>
      <w:r>
        <w:rPr>
          <w:rFonts w:ascii="Calibri" w:cs="Calibri" w:eastAsia="Calibri" w:hAnsi="Calibri"/>
          <w:i/>
          <w:iCs/>
          <w:sz w:val="20"/>
          <w:szCs w:val="20"/>
        </w:rPr>
        <w:t xml:space="preserve">While reputation can support credibility in repeated games, both Spence's signalling model and the standard sequential game models of credible threats operate in one-shot settings. The credibility comes from the single-period cost structure, not from repeated interaction or reputation building.</w:t>
      </w:r>
    </w:p>
    <w:p>
      <w:pPr>
        <w:pBdr>
          <w:bottom w:val="single" w:color="DDDDDD" w:sz="1"/>
        </w:pBdr>
        <w:spacing w:after="80"/>
      </w:pP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2026-02-20T08:44:09.939Z</dcterms:created>
  <dcterms:modified xsi:type="dcterms:W3CDTF">2026-02-20T08:44:09.939Z</dcterms:modified>
</cp:coreProperties>
</file>

<file path=docProps/custom.xml><?xml version="1.0" encoding="utf-8"?>
<Properties xmlns="http://schemas.openxmlformats.org/officeDocument/2006/custom-properties" xmlns:vt="http://schemas.openxmlformats.org/officeDocument/2006/docPropsVTypes"/>
</file>