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Going Once, Going Twice: The Surprising Science of Auctions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Four Auction Formats Speed Round (15-20 minutes)</w:t>
      </w:r>
    </w:p>
    <w:p>
      <w:pPr>
        <w:spacing w:after="120"/>
      </w:pPr>
      <w:r>
        <w:rPr>
          <w:rFonts w:ascii="Calibri" w:cs="Calibri" w:eastAsia="Calibri" w:hAnsi="Calibri"/>
          <w:sz w:val="22"/>
          <w:szCs w:val="22"/>
        </w:rPr>
        <w:t xml:space="preserve">Run four simultaneous mini-auctions for identical items (e.g., $5 gift cards), each using a different format. Assign 2-3 tables to each format. Round 1: English auction (open ascending). Round 2: Dutch auction (descending clock). Round 3: First-price sealed-bid. Round 4: Vickrey (second-price sealed-bid). Teams pool their hypothetical budgets and submit one bid per team. After all four rounds, debrief: Which format generated highest revenue? How did bidding behavior differ? Did teams bid differently when they could see others vs. sealed? Connect to revenue equivalence theorem and why it might break down in practice.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Prize items (real or hypothetical), bidding slips for sealed formats, whiteboard or projector to track bids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experience how different auction mechanisms feel and behave, setting up theoretical concepts with embodied memory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(~10 tables), run 2-3 tables per auction format simultaneously. Smaller classes can rotate through formats; larger classes can run multiple parallel experiments and compare results.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Winner's Curse Penny Jar (10 minutes)</w:t>
      </w:r>
    </w:p>
    <w:p>
      <w:pPr>
        <w:spacing w:after="120"/>
      </w:pPr>
      <w:r>
        <w:rPr>
          <w:rFonts w:ascii="Calibri" w:cs="Calibri" w:eastAsia="Calibri" w:hAnsi="Calibri"/>
          <w:sz w:val="22"/>
          <w:szCs w:val="22"/>
        </w:rPr>
        <w:t xml:space="preserve">Display a jar filled with pennies (or show an image). Each table estimates the value and submits a sealed bid. The highest bidder wins but pays their bid and receives the actual value. Reveal the true value. The 'winner' likely overbid (winner's curse). Discuss: Why does the winner typically lose money? Connect to common value auctions, oil drilling rights, and spectrum auctions. Key insight: You win only when you've overbid everyone else, which suggests you've probably overestimated. Tables then revise their bids accounting for winner's curse and resubmit. Compare first-round vs. second-round bids to show learning.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Jar with pennies (or projected image), sealed bid slips, reveal of true value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Demonstrate winner's curse in common value settings and why rational bidders must bid below their estimate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identically for any class size. Each table submits one bid, making the activity scalable and keeping everyone engaged simultaneously.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Vickrey Truth-Telling Challenge (12-15 minutes)</w:t>
      </w:r>
    </w:p>
    <w:p>
      <w:pPr>
        <w:spacing w:after="120"/>
      </w:pPr>
      <w:r>
        <w:rPr>
          <w:rFonts w:ascii="Calibri" w:cs="Calibri" w:eastAsia="Calibri" w:hAnsi="Calibri"/>
          <w:sz w:val="22"/>
          <w:szCs w:val="22"/>
        </w:rPr>
        <w:t xml:space="preserve">Give each table a secret private valuation for a hypothetical item (values vary across tables: $10, $15, $20, etc.). Run a Vickrey auction where teams submit sealed bids. Reveal all bids and explain: highest bidder wins but pays the second-highest price. Ask: Did anyone bid differently than their true valuation? Run a second round encouraging strategic deviations. Show that bidding your true value is dominant: overbidding risks overpaying without increasing win probability; underbidding risks losing when you would have won profitably. Calculate counterfactuals on board to prove this. Contrast with first-price auction where strategic shading is optimal.</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Valuation cards (different for each table), sealed bid forms, board space for counterfactual analysis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Prove through experience and counterfactual analysis that truth-telling is a dominant strategy in Vickrey auctions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 private valuations to ~10 tables. Larger classes can run multiple simultaneous auctions in different room sections; smaller classes can run multiple rounds with rotating valuations.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Spectrum Auction Design Challenge (18-20 minutes)</w:t>
      </w:r>
    </w:p>
    <w:p>
      <w:pPr>
        <w:spacing w:after="120"/>
      </w:pPr>
      <w:r>
        <w:rPr>
          <w:rFonts w:ascii="Calibri" w:cs="Calibri" w:eastAsia="Calibri" w:hAnsi="Calibri"/>
          <w:sz w:val="22"/>
          <w:szCs w:val="22"/>
        </w:rPr>
        <w:t xml:space="preserve">Present a realistic scenario: A government wants to auction 3 regional telecom licenses. Teams are competing telecom companies with different synergies (e.g., 'you already own the north license, so the south license is worth more to you'). Give each table a valuation sheet showing their values for different license combinations. Phase 1 (8 min): Tables strategize their bidding approach. Phase 2 (6 min): Run a simplified simultaneous ascending auction where tables can bid on any license. Phase 3 (4 min): Debrief the outcome. Who won what? Was it efficient? Did anyone face exposure problems (bid on complementary licenses but won only one)? Connect to real FCC spectrum auctions and mechanism design challenges.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Valuation matrices (showing synergies), bidding tracking sheet (projected or on whiteboard), scenario handout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the complexity of multi-unit auctions with complementarities and introduce mechanism design challenges beyond single-item theory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Ten tables can all participate as different bidders with different synergy structures. Larger classes can run two parallel auctions; smaller classes can simplify to 2 licenses.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Auction Format Debate Tournament (15 minutes)</w:t>
      </w:r>
    </w:p>
    <w:p>
      <w:pPr>
        <w:spacing w:after="120"/>
      </w:pPr>
      <w:r>
        <w:rPr>
          <w:rFonts w:ascii="Calibri" w:cs="Calibri" w:eastAsia="Calibri" w:hAnsi="Calibri"/>
          <w:sz w:val="22"/>
          <w:szCs w:val="22"/>
        </w:rPr>
        <w:t xml:space="preserve">Assign each table a specific auction format to defend (English, Dutch, first-price, Vickrey). Give a context: 'A city wants to auction a food truck permit.' Each table gets 3 minutes to prepare arguments for why their format is best for this scenario considering: revenue maximization, efficiency (highest-value bidder wins), simplicity, and fraud resistance. Run 2-minute pitches from 4 selected tables, followed by a class vote on most convincing argument. Instructor then reveals theoretical insights: revenue equivalence under certain assumptions, but practical considerations matter (entry costs, collusion risks, bidder sophistication). Create tension between theory and practice.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Format assignment cards, timer, voting mechanism (raised hands or poll)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 understanding of auction properties and think critically about mechanism selection for real-world contexts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assign 2-3 tables per format and have best representatives present. Smaller classes can have one table per format; larger classes can run parallel debates in different room areas.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Revenue Equivalence Reality Check (12-15 minutes)</w:t>
      </w:r>
    </w:p>
    <w:p>
      <w:pPr>
        <w:spacing w:after="120"/>
      </w:pPr>
      <w:r>
        <w:rPr>
          <w:rFonts w:ascii="Calibri" w:cs="Calibri" w:eastAsia="Calibri" w:hAnsi="Calibri"/>
          <w:sz w:val="22"/>
          <w:szCs w:val="22"/>
        </w:rPr>
        <w:t xml:space="preserve">Test the revenue equivalence theorem empirically. Run two simultaneous auctions for identical prizes: half the tables participate in a first-price sealed-bid auction, half in a Vickrey auction. Give everyone the same budget. Collect all bids and reveal: winning bids and average revenue from each format. Theory predicts equal expected revenue, but do results match? Discuss deviations: risk aversion (underbidding in Vickrey, over-shading in first-price), joy of winning, spite, or confusion. This shows both the power of theory and the importance of behavioral factors. Run a second round after discussing theory and observe if behavior changes.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Identical prizes (or hypothetical), sealed bid forms, revenue tracking 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Empirically test a core theoretical prediction and understand when and why theory deviates from practice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Split 10 tables into two groups of 5. Works for any even number of tables. Smaller classes can run sequential rounds; larger classes can run multiple parallel experiments and aggregate data.</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2026-02-20T08:53:58.283Z</dcterms:created>
  <dcterms:modified xsi:type="dcterms:W3CDTF">2026-02-20T08:53:58.283Z</dcterms:modified>
</cp:coreProperties>
</file>

<file path=docProps/custom.xml><?xml version="1.0" encoding="utf-8"?>
<Properties xmlns="http://schemas.openxmlformats.org/officeDocument/2006/custom-properties" xmlns:vt="http://schemas.openxmlformats.org/officeDocument/2006/docPropsVTypes"/>
</file>