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200"/>
        <w:jc w:val="center"/>
      </w:pPr>
      <w:r>
        <w:rPr>
          <w:rFonts w:ascii="Calibri" w:cs="Calibri" w:eastAsia="Calibri" w:hAnsi="Calibri"/>
          <w:b/>
          <w:bCs/>
          <w:sz w:val="26"/>
          <w:szCs w:val="26"/>
        </w:rPr>
        <w:t xml:space="preserve">Going Once, Going Twice: The Surprising Science of Auctions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In a Dutch auction, how is the price determined?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auctioneer starts at a high price and gradually lowers it until a bidder accepts</w:t>
      </w:r>
    </w:p>
    <w:p>
      <w:pPr>
        <w:spacing w:after="120"/>
        <w:ind w:left="360"/>
      </w:pPr>
      <w:r>
        <w:rPr>
          <w:rFonts w:ascii="Calibri" w:cs="Calibri" w:eastAsia="Calibri" w:hAnsi="Calibri"/>
          <w:i/>
          <w:iCs/>
          <w:sz w:val="20"/>
          <w:szCs w:val="20"/>
        </w:rPr>
        <w:t xml:space="preserve">A Dutch (descending) auction begins with a high asking price that is progressively reduced. The first bidder willing to accept the current price wins the item at that price. This creates urgency because waiting for a lower price risks losing the item to another bidder.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Bidders submit sealed bids simultaneously and the highest bidder pays the second-highest bid</w:t>
      </w:r>
    </w:p>
    <w:p>
      <w:pPr>
        <w:spacing w:after="80"/>
        <w:ind w:left="360"/>
      </w:pPr>
      <w:r>
        <w:rPr>
          <w:rFonts w:ascii="Calibri" w:cs="Calibri" w:eastAsia="Calibri" w:hAnsi="Calibri"/>
          <w:i/>
          <w:iCs/>
          <w:sz w:val="20"/>
          <w:szCs w:val="20"/>
        </w:rPr>
        <w:t xml:space="preserve">This describes a Vickrey (second-price sealed-bid) auction, not a Dutch auction. Students may confuse the four standard formats, but the Dutch auction is specifically defined by its descending open-price mechanism.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Bidders openly raise the price by calling out increasingly higher bids until no one bids further</w:t>
      </w:r>
    </w:p>
    <w:p>
      <w:pPr>
        <w:spacing w:after="80"/>
        <w:ind w:left="360"/>
      </w:pPr>
      <w:r>
        <w:rPr>
          <w:rFonts w:ascii="Calibri" w:cs="Calibri" w:eastAsia="Calibri" w:hAnsi="Calibri"/>
          <w:i/>
          <w:iCs/>
          <w:sz w:val="20"/>
          <w:szCs w:val="20"/>
        </w:rPr>
        <w:t xml:space="preserve">This describes an English (ascending) auction, not a Dutch auction. Though both are open formats, the English auction features rising prices driven by bidders, while the Dutch auction features falling prices set by the auctioneer.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Bidders submit sealed bids simultaneously and the highest bidder pays their own bid</w:t>
      </w:r>
    </w:p>
    <w:p>
      <w:pPr>
        <w:spacing w:after="80"/>
        <w:ind w:left="360"/>
      </w:pPr>
      <w:r>
        <w:rPr>
          <w:rFonts w:ascii="Calibri" w:cs="Calibri" w:eastAsia="Calibri" w:hAnsi="Calibri"/>
          <w:i/>
          <w:iCs/>
          <w:sz w:val="20"/>
          <w:szCs w:val="20"/>
        </w:rPr>
        <w:t xml:space="preserve">This describes a first-price sealed-bid auction. While the Dutch auction is strategically equivalent to the first-price sealed-bid format, its procedural mechanism is fundamentally different — it uses a publicly descending price, not sealed bids.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Which auction format is strategically equivalent to the first-price sealed-bid auction?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Dutch descending auction</w:t>
      </w:r>
    </w:p>
    <w:p>
      <w:pPr>
        <w:spacing w:after="120"/>
        <w:ind w:left="360"/>
      </w:pPr>
      <w:r>
        <w:rPr>
          <w:rFonts w:ascii="Calibri" w:cs="Calibri" w:eastAsia="Calibri" w:hAnsi="Calibri"/>
          <w:i/>
          <w:iCs/>
          <w:sz w:val="20"/>
          <w:szCs w:val="20"/>
        </w:rPr>
        <w:t xml:space="preserve">The Dutch auction and the first-price sealed-bid auction are strategically equivalent because in both cases, a bidder must decide on a single price they are willing to pay without knowing others' bids. In the Dutch auction, deciding in advance at what price to call out is identical to choosing a sealed bid, and the winner pays their own bid in both formats.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English ascending auction</w:t>
      </w:r>
    </w:p>
    <w:p>
      <w:pPr>
        <w:spacing w:after="80"/>
        <w:ind w:left="360"/>
      </w:pPr>
      <w:r>
        <w:rPr>
          <w:rFonts w:ascii="Calibri" w:cs="Calibri" w:eastAsia="Calibri" w:hAnsi="Calibri"/>
          <w:i/>
          <w:iCs/>
          <w:sz w:val="20"/>
          <w:szCs w:val="20"/>
        </w:rPr>
        <w:t xml:space="preserve">The English auction is actually strategically equivalent to the Vickrey (second-price sealed-bid) auction, not the first-price sealed-bid. In the English auction, the winner typically pays just above the second-highest valuation, mirroring the second-price payment rule.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Vickrey second-price sealed-bid auction</w:t>
      </w:r>
    </w:p>
    <w:p>
      <w:pPr>
        <w:spacing w:after="80"/>
        <w:ind w:left="360"/>
      </w:pPr>
      <w:r>
        <w:rPr>
          <w:rFonts w:ascii="Calibri" w:cs="Calibri" w:eastAsia="Calibri" w:hAnsi="Calibri"/>
          <w:i/>
          <w:iCs/>
          <w:sz w:val="20"/>
          <w:szCs w:val="20"/>
        </w:rPr>
        <w:t xml:space="preserve">The Vickrey auction is strategically equivalent to the English auction, not the first-price sealed-bid. Both result in the winner effectively paying the second-highest valuation, whereas the first-price sealed-bid and Dutch formats require the winner to pay their own bid.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No other format — each of the four standard auctions is strategically unique</w:t>
      </w:r>
    </w:p>
    <w:p>
      <w:pPr>
        <w:spacing w:after="80"/>
        <w:ind w:left="360"/>
      </w:pPr>
      <w:r>
        <w:rPr>
          <w:rFonts w:ascii="Calibri" w:cs="Calibri" w:eastAsia="Calibri" w:hAnsi="Calibri"/>
          <w:i/>
          <w:iCs/>
          <w:sz w:val="20"/>
          <w:szCs w:val="20"/>
        </w:rPr>
        <w:t xml:space="preserve">This is incorrect. Auction theory establishes two pairs of strategic equivalences: the Dutch auction with the first-price sealed-bid, and the English auction with the Vickrey second-price sealed-bid. These equivalences are a core insight of the chapter.</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In a Vickrey (second-price sealed-bid) auction, what is the weakly dominant strategy for a bidder?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Bid exactly your true valuation of the item</w:t>
      </w:r>
    </w:p>
    <w:p>
      <w:pPr>
        <w:spacing w:after="120"/>
        <w:ind w:left="360"/>
      </w:pPr>
      <w:r>
        <w:rPr>
          <w:rFonts w:ascii="Calibri" w:cs="Calibri" w:eastAsia="Calibri" w:hAnsi="Calibri"/>
          <w:i/>
          <w:iCs/>
          <w:sz w:val="20"/>
          <w:szCs w:val="20"/>
        </w:rPr>
        <w:t xml:space="preserve">Bidding your true valuation is weakly dominant because it maximises your chance of winning when winning is profitable (when the second-highest bid is below your valuation) and ensures you never win at an unprofitable price. No matter what other bidders do, you can never do strictly better by deviating from truthful bidding.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Bid slightly above your true valuation to increase the chance of winning</w:t>
      </w:r>
    </w:p>
    <w:p>
      <w:pPr>
        <w:spacing w:after="80"/>
        <w:ind w:left="360"/>
      </w:pPr>
      <w:r>
        <w:rPr>
          <w:rFonts w:ascii="Calibri" w:cs="Calibri" w:eastAsia="Calibri" w:hAnsi="Calibri"/>
          <w:i/>
          <w:iCs/>
          <w:sz w:val="20"/>
          <w:szCs w:val="20"/>
        </w:rPr>
        <w:t xml:space="preserve">Overbidding in a Vickrey auction does increase your probability of winning, but it creates the risk that the second-highest bid falls between your true valuation and your inflated bid, forcing you to pay more than the item is worth to you. The potential loss outweighs any gain.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Bid below your true valuation to ensure a larger surplus if you win</w:t>
      </w:r>
    </w:p>
    <w:p>
      <w:pPr>
        <w:spacing w:after="80"/>
        <w:ind w:left="360"/>
      </w:pPr>
      <w:r>
        <w:rPr>
          <w:rFonts w:ascii="Calibri" w:cs="Calibri" w:eastAsia="Calibri" w:hAnsi="Calibri"/>
          <w:i/>
          <w:iCs/>
          <w:sz w:val="20"/>
          <w:szCs w:val="20"/>
        </w:rPr>
        <w:t xml:space="preserve">In a second-price auction, your bid does not affect the price you pay if you win — you pay the second-highest bid regardless. Bidding below your valuation only reduces your chance of winning without changing your surplus when you do win, making it a strictly worse strategy.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Bid strategically based on your estimate of what others will bid</w:t>
      </w:r>
    </w:p>
    <w:p>
      <w:pPr>
        <w:spacing w:after="80"/>
        <w:ind w:left="360"/>
      </w:pPr>
      <w:r>
        <w:rPr>
          <w:rFonts w:ascii="Calibri" w:cs="Calibri" w:eastAsia="Calibri" w:hAnsi="Calibri"/>
          <w:i/>
          <w:iCs/>
          <w:sz w:val="20"/>
          <w:szCs w:val="20"/>
        </w:rPr>
        <w:t xml:space="preserve">A key insight of the Vickrey auction is that truthful bidding is dominant regardless of what others do. Unlike in first-price auctions where strategic shading is rational, the second-price payment rule eliminates any need to reason about opponents' strategies.</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 bidder in a Vickrey auction values an item at $500 and bids $500. The second-highest bid is $380. What does the winning bidder pay?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$380</w:t>
      </w:r>
    </w:p>
    <w:p>
      <w:pPr>
        <w:spacing w:after="120"/>
        <w:ind w:left="360"/>
      </w:pPr>
      <w:r>
        <w:rPr>
          <w:rFonts w:ascii="Calibri" w:cs="Calibri" w:eastAsia="Calibri" w:hAnsi="Calibri"/>
          <w:i/>
          <w:iCs/>
          <w:sz w:val="20"/>
          <w:szCs w:val="20"/>
        </w:rPr>
        <w:t xml:space="preserve">In a Vickrey (second-price sealed-bid) auction, the winner pays the amount of the second-highest bid, not their own bid. Since the second-highest bid is $380, that is the price paid. The winner earns a surplus of $120 ($500 − $380).</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$500</w:t>
      </w:r>
    </w:p>
    <w:p>
      <w:pPr>
        <w:spacing w:after="80"/>
        <w:ind w:left="360"/>
      </w:pPr>
      <w:r>
        <w:rPr>
          <w:rFonts w:ascii="Calibri" w:cs="Calibri" w:eastAsia="Calibri" w:hAnsi="Calibri"/>
          <w:i/>
          <w:iCs/>
          <w:sz w:val="20"/>
          <w:szCs w:val="20"/>
        </w:rPr>
        <w:t xml:space="preserve">Paying your own bid is the rule in a first-price sealed-bid auction, not a Vickrey auction. The defining feature of the Vickrey format is that the winner pays the second-highest bid, which decouples the bid amount from the payment and makes truthful bidding dominant.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$440</w:t>
      </w:r>
    </w:p>
    <w:p>
      <w:pPr>
        <w:spacing w:after="80"/>
        <w:ind w:left="360"/>
      </w:pPr>
      <w:r>
        <w:rPr>
          <w:rFonts w:ascii="Calibri" w:cs="Calibri" w:eastAsia="Calibri" w:hAnsi="Calibri"/>
          <w:i/>
          <w:iCs/>
          <w:sz w:val="20"/>
          <w:szCs w:val="20"/>
        </w:rPr>
        <w:t xml:space="preserve">This is the average of $500 and $380, but no standard auction format uses an averaging rule. In the Vickrey auction, the payment rule is simply the second-highest bid amount, which is $380.</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$381</w:t>
      </w:r>
    </w:p>
    <w:p>
      <w:pPr>
        <w:spacing w:after="80"/>
        <w:ind w:left="360"/>
      </w:pPr>
      <w:r>
        <w:rPr>
          <w:rFonts w:ascii="Calibri" w:cs="Calibri" w:eastAsia="Calibri" w:hAnsi="Calibri"/>
          <w:i/>
          <w:iCs/>
          <w:sz w:val="20"/>
          <w:szCs w:val="20"/>
        </w:rPr>
        <w:t xml:space="preserve">A student might think the winner pays one dollar above the second-highest bid, as sometimes happens informally in English auctions with minimum bid increments. However, in the Vickrey sealed-bid format, the winner pays exactly the second-highest bid — $380 — not a penny more.</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Why is bidding below your true valuation a poor strategy in a Vickrey auction but potentially rational in a first-price sealed-bid auction?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In a Vickrey auction, your bid affects only whether you win, not the price you pay; in a first-price auction, your bid directly determines your payment</w:t>
      </w:r>
    </w:p>
    <w:p>
      <w:pPr>
        <w:spacing w:after="120"/>
        <w:ind w:left="360"/>
      </w:pPr>
      <w:r>
        <w:rPr>
          <w:rFonts w:ascii="Calibri" w:cs="Calibri" w:eastAsia="Calibri" w:hAnsi="Calibri"/>
          <w:i/>
          <w:iCs/>
          <w:sz w:val="20"/>
          <w:szCs w:val="20"/>
        </w:rPr>
        <w:t xml:space="preserve">This captures the fundamental structural difference. In the Vickrey auction, the price is set by someone else's bid, so shading your bid only risks losing profitable opportunities. In a first-price auction, you pay your own bid, so shading creates a genuine tradeoff between winning probability and surplus — making some degree of underbidding rational.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Bidding below your valuation is actually a poor strategy in both auction formats under rational bidding equilibrium, since it always reduces your chance of winning</w:t>
      </w:r>
    </w:p>
    <w:p>
      <w:pPr>
        <w:spacing w:after="80"/>
        <w:ind w:left="360"/>
      </w:pPr>
      <w:r>
        <w:rPr>
          <w:rFonts w:ascii="Calibri" w:cs="Calibri" w:eastAsia="Calibri" w:hAnsi="Calibri"/>
          <w:i/>
          <w:iCs/>
          <w:sz w:val="20"/>
          <w:szCs w:val="20"/>
        </w:rPr>
        <w:t xml:space="preserve">While underbidding does reduce winning probability in both formats, in a first-price auction this tradeoff is worthwhile because bidding lower also means paying less when you win. This tradeoff does not exist in the Vickrey format, where your payment is independent of your bid.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 a first-price auction, other bidders can see your bid and will lower theirs in response</w:t>
      </w:r>
    </w:p>
    <w:p>
      <w:pPr>
        <w:spacing w:after="80"/>
        <w:ind w:left="360"/>
      </w:pPr>
      <w:r>
        <w:rPr>
          <w:rFonts w:ascii="Calibri" w:cs="Calibri" w:eastAsia="Calibri" w:hAnsi="Calibri"/>
          <w:i/>
          <w:iCs/>
          <w:sz w:val="20"/>
          <w:szCs w:val="20"/>
        </w:rPr>
        <w:t xml:space="preserve">First-price sealed-bid auctions involve simultaneous submission of sealed bids — no bidder observes anyone else's bid. The rationale for bid shading is not about influencing others but about reducing your own payment when you win.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Vickrey auction penalises low bidders by requiring them to pay a fee if they lose</w:t>
      </w:r>
    </w:p>
    <w:p>
      <w:pPr>
        <w:spacing w:after="80"/>
        <w:ind w:left="360"/>
      </w:pPr>
      <w:r>
        <w:rPr>
          <w:rFonts w:ascii="Calibri" w:cs="Calibri" w:eastAsia="Calibri" w:hAnsi="Calibri"/>
          <w:i/>
          <w:iCs/>
          <w:sz w:val="20"/>
          <w:szCs w:val="20"/>
        </w:rPr>
        <w:t xml:space="preserve">There is no penalty or fee for losing in a standard Vickrey auction. The reason underbidding is suboptimal is simply that your bid only determines whether you win, not what you pay. There is no upside to bidding below your valuation.</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The revenue equivalence theorem states that, under standard assumptions, all four standard auction formats yield the same expected revenue to the seller. Which of the following is a necessary assumption for this result to hold?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Bidders have independent private valuations drawn from the same probability distribution</w:t>
      </w:r>
    </w:p>
    <w:p>
      <w:pPr>
        <w:spacing w:after="120"/>
        <w:ind w:left="360"/>
      </w:pPr>
      <w:r>
        <w:rPr>
          <w:rFonts w:ascii="Calibri" w:cs="Calibri" w:eastAsia="Calibri" w:hAnsi="Calibri"/>
          <w:i/>
          <w:iCs/>
          <w:sz w:val="20"/>
          <w:szCs w:val="20"/>
        </w:rPr>
        <w:t xml:space="preserve">Revenue equivalence requires (among other conditions) that bidders' valuations are independently and identically distributed private values. This symmetry ensures that the strategic adjustments bidders make across different auction formats — such as bid shading in first-price auctions — precisely offset the structural differences in payment rules, equalising expected revenue.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auctioneer must set a minimum reserve price above zero</w:t>
      </w:r>
    </w:p>
    <w:p>
      <w:pPr>
        <w:spacing w:after="80"/>
        <w:ind w:left="360"/>
      </w:pPr>
      <w:r>
        <w:rPr>
          <w:rFonts w:ascii="Calibri" w:cs="Calibri" w:eastAsia="Calibri" w:hAnsi="Calibri"/>
          <w:i/>
          <w:iCs/>
          <w:sz w:val="20"/>
          <w:szCs w:val="20"/>
        </w:rPr>
        <w:t xml:space="preserve">Revenue equivalence does not require a positive reserve price. The theorem holds with or without a reserve, as long as the same reserve is applied across the compared formats. A reserve price is a design choice, not a condition of the theorem.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There must be at least ten bidders participating in the auction</w:t>
      </w:r>
    </w:p>
    <w:p>
      <w:pPr>
        <w:spacing w:after="80"/>
        <w:ind w:left="360"/>
      </w:pPr>
      <w:r>
        <w:rPr>
          <w:rFonts w:ascii="Calibri" w:cs="Calibri" w:eastAsia="Calibri" w:hAnsi="Calibri"/>
          <w:i/>
          <w:iCs/>
          <w:sz w:val="20"/>
          <w:szCs w:val="20"/>
        </w:rPr>
        <w:t xml:space="preserve">Revenue equivalence does not require any specific number of bidders. It holds for any number of risk-neutral bidders (as long as there are at least two). The result depends on distributional and strategic assumptions, not on a minimum bidder count.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item being sold must have a known, objective market value</w:t>
      </w:r>
    </w:p>
    <w:p>
      <w:pPr>
        <w:spacing w:after="80"/>
        <w:ind w:left="360"/>
      </w:pPr>
      <w:r>
        <w:rPr>
          <w:rFonts w:ascii="Calibri" w:cs="Calibri" w:eastAsia="Calibri" w:hAnsi="Calibri"/>
          <w:i/>
          <w:iCs/>
          <w:sz w:val="20"/>
          <w:szCs w:val="20"/>
        </w:rPr>
        <w:t xml:space="preserve">If the item has a known objective value, there would be no uncertainty or strategic complexity at all. Revenue equivalence actually applies to the independent private values setting, where each bidder has their own subjective valuation. A common known value would eliminate meaningful bidding competition.</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An oil company wins an auction for drilling rights in a region where the true amount of oil underground is uncertain but the same for all bidders. Each company has conducted its own geological survey to estimate the value. Why should the winning company be concerned about the winner's curse?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Winning implies their estimate was the highest, which in a common-value setting means it was likely the most overoptimistic relative to the true value</w:t>
      </w:r>
    </w:p>
    <w:p>
      <w:pPr>
        <w:spacing w:after="120"/>
        <w:ind w:left="360"/>
      </w:pPr>
      <w:r>
        <w:rPr>
          <w:rFonts w:ascii="Calibri" w:cs="Calibri" w:eastAsia="Calibri" w:hAnsi="Calibri"/>
          <w:i/>
          <w:iCs/>
          <w:sz w:val="20"/>
          <w:szCs w:val="20"/>
        </w:rPr>
        <w:t xml:space="preserve">In a common-value auction, winning is informative: it reveals that your estimate exceeded every competitor's estimate. Since all estimates contain noise, the highest estimate is statistically likely to be an overestimate of the true common value. Rational bidders should apply Bayesian updating — conditioning their valuation on the event of winning — and shade their bids downward accordingly.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other companies may collude to drive up the price, forcing the winner to overpay</w:t>
      </w:r>
    </w:p>
    <w:p>
      <w:pPr>
        <w:spacing w:after="80"/>
        <w:ind w:left="360"/>
      </w:pPr>
      <w:r>
        <w:rPr>
          <w:rFonts w:ascii="Calibri" w:cs="Calibri" w:eastAsia="Calibri" w:hAnsi="Calibri"/>
          <w:i/>
          <w:iCs/>
          <w:sz w:val="20"/>
          <w:szCs w:val="20"/>
        </w:rPr>
        <w:t xml:space="preserve">While collusion is a real concern in auctions, the winner's curse is a distinct phenomenon that arises even with fully competitive, non-colluding bidders. It stems from the statistical bias inherent in being the highest estimator, not from strategic manipulation by others.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Oil prices may fall between the time of the auction and the time drilling begins</w:t>
      </w:r>
    </w:p>
    <w:p>
      <w:pPr>
        <w:spacing w:after="80"/>
        <w:ind w:left="360"/>
      </w:pPr>
      <w:r>
        <w:rPr>
          <w:rFonts w:ascii="Calibri" w:cs="Calibri" w:eastAsia="Calibri" w:hAnsi="Calibri"/>
          <w:i/>
          <w:iCs/>
          <w:sz w:val="20"/>
          <w:szCs w:val="20"/>
        </w:rPr>
        <w:t xml:space="preserve">Market price fluctuations are a general business risk, not the winner's curse. The winner's curse specifically refers to the adverse selection problem of having the highest estimate in a common-value setting — it occurs even if oil prices remain perfectly stable.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company used a private-value bidding strategy instead of accounting for common-value dynamics</w:t>
      </w:r>
    </w:p>
    <w:p>
      <w:pPr>
        <w:spacing w:after="80"/>
        <w:ind w:left="360"/>
      </w:pPr>
      <w:r>
        <w:rPr>
          <w:rFonts w:ascii="Calibri" w:cs="Calibri" w:eastAsia="Calibri" w:hAnsi="Calibri"/>
          <w:i/>
          <w:iCs/>
          <w:sz w:val="20"/>
          <w:szCs w:val="20"/>
        </w:rPr>
        <w:t xml:space="preserve">While failing to adapt one's strategy to common-value settings can worsen outcomes, this describes a strategic error rather than the winner's curse itself. The winner's curse is the fundamental statistical phenomenon that the highest estimate among many tends to exceed the true value — it exists regardless of which strategy a bidder employs.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How does the winner's curse relate to Bayesian updating?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rational bidder should update their estimate of the item's value downward conditional on the new information that their bid was the highest</w:t>
      </w:r>
    </w:p>
    <w:p>
      <w:pPr>
        <w:spacing w:after="120"/>
        <w:ind w:left="360"/>
      </w:pPr>
      <w:r>
        <w:rPr>
          <w:rFonts w:ascii="Calibri" w:cs="Calibri" w:eastAsia="Calibri" w:hAnsi="Calibri"/>
          <w:i/>
          <w:iCs/>
          <w:sz w:val="20"/>
          <w:szCs w:val="20"/>
        </w:rPr>
        <w:t xml:space="preserve">Bayesian updating requires incorporating all available information into your beliefs. In a common-value auction, the event of winning provides information — it means no other bidder estimated the value as highly as you did. A rational Bayesian bidder conditions their valuation estimate on this event, which typically revises the expected value downward and leads to more conservative bidding.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Bayesian updating tells the winner to raise their estimate because winning confirms their superior information</w:t>
      </w:r>
    </w:p>
    <w:p>
      <w:pPr>
        <w:spacing w:after="80"/>
        <w:ind w:left="360"/>
      </w:pPr>
      <w:r>
        <w:rPr>
          <w:rFonts w:ascii="Calibri" w:cs="Calibri" w:eastAsia="Calibri" w:hAnsi="Calibri"/>
          <w:i/>
          <w:iCs/>
          <w:sz w:val="20"/>
          <w:szCs w:val="20"/>
        </w:rPr>
        <w:t xml:space="preserve">This reasoning is backwards. Winning does not confirm superior information — it reveals that your estimate was the most extreme. In a common-value setting with noisy estimates, the most extreme estimate is more likely to be an overestimate, so the Bayesian update goes downward, not upward.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Bayesian updating is only relevant in private-value auctions where each bidder knows their own valuation with certainty</w:t>
      </w:r>
    </w:p>
    <w:p>
      <w:pPr>
        <w:spacing w:after="80"/>
        <w:ind w:left="360"/>
      </w:pPr>
      <w:r>
        <w:rPr>
          <w:rFonts w:ascii="Calibri" w:cs="Calibri" w:eastAsia="Calibri" w:hAnsi="Calibri"/>
          <w:i/>
          <w:iCs/>
          <w:sz w:val="20"/>
          <w:szCs w:val="20"/>
        </w:rPr>
        <w:t xml:space="preserve">In private-value auctions, bidders know their own valuations precisely, so there is little role for Bayesian updating about the item's worth. It is precisely in common-value auctions, where the true value is uncertain, that Bayesian updating becomes critical for avoiding the winner's curse.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Bayesian updating instructs bidders to ignore the outcome of the auction and rely solely on their pre-auction estimate</w:t>
      </w:r>
    </w:p>
    <w:p>
      <w:pPr>
        <w:spacing w:after="80"/>
        <w:ind w:left="360"/>
      </w:pPr>
      <w:r>
        <w:rPr>
          <w:rFonts w:ascii="Calibri" w:cs="Calibri" w:eastAsia="Calibri" w:hAnsi="Calibri"/>
          <w:i/>
          <w:iCs/>
          <w:sz w:val="20"/>
          <w:szCs w:val="20"/>
        </w:rPr>
        <w:t xml:space="preserve">Bayesian reasoning requires the opposite — it demands that rational agents incorporate all relevant information, including the information revealed by winning. Ignoring the informational content of winning is the mistake that leads to the winner's curse.</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The FCC spectrum auctions in the United States are a landmark example of mechanism design. What was the primary advantage of using auctions to allocate spectrum licenses compared to the previously used methods?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Auctions allocated licenses to firms that valued them most highly while generating substantial government revenue</w:t>
      </w:r>
    </w:p>
    <w:p>
      <w:pPr>
        <w:spacing w:after="120"/>
        <w:ind w:left="360"/>
      </w:pPr>
      <w:r>
        <w:rPr>
          <w:rFonts w:ascii="Calibri" w:cs="Calibri" w:eastAsia="Calibri" w:hAnsi="Calibri"/>
          <w:i/>
          <w:iCs/>
          <w:sz w:val="20"/>
          <w:szCs w:val="20"/>
        </w:rPr>
        <w:t xml:space="preserve">Before auctions, the FCC used comparative hearings ('beauty contests') and random lotteries, which were slow, arbitrary, and often allocated spectrum to parties who did not value it most. Auctions solved both the efficiency problem (allocating to highest-value users) and the revenue problem (capturing the economic value of the spectrum for the public), generating tens of billions of dollars.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Auctions prevented any single firm from acquiring too many licenses, ensuring perfect market competition</w:t>
      </w:r>
    </w:p>
    <w:p>
      <w:pPr>
        <w:spacing w:after="80"/>
        <w:ind w:left="360"/>
      </w:pPr>
      <w:r>
        <w:rPr>
          <w:rFonts w:ascii="Calibri" w:cs="Calibri" w:eastAsia="Calibri" w:hAnsi="Calibri"/>
          <w:i/>
          <w:iCs/>
          <w:sz w:val="20"/>
          <w:szCs w:val="20"/>
        </w:rPr>
        <w:t xml:space="preserve">While auction rules can include competition safeguards, preventing monopoly was not the primary advantage of auctions over prior methods. Lotteries and hearings could also include ownership limits. The core advantage was efficient allocation through revealed willingness to pay.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Auctions were faster and cheaper to administer than comparative hearings, which previously required individual FCC evaluations of each firm's qualifications</w:t>
      </w:r>
    </w:p>
    <w:p>
      <w:pPr>
        <w:spacing w:after="80"/>
        <w:ind w:left="360"/>
      </w:pPr>
      <w:r>
        <w:rPr>
          <w:rFonts w:ascii="Calibri" w:cs="Calibri" w:eastAsia="Calibri" w:hAnsi="Calibri"/>
          <w:i/>
          <w:iCs/>
          <w:sz w:val="20"/>
          <w:szCs w:val="20"/>
        </w:rPr>
        <w:t xml:space="preserve">While auctions were indeed faster than the notoriously slow comparative hearing process, administrative efficiency was not their primary contribution. The fundamental advantage was that auctions used market mechanisms to discover the value of spectrum and allocate it to the most productive users.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Auctions eliminated all strategic behaviour by firms, leading to perfectly honest bidding</w:t>
      </w:r>
    </w:p>
    <w:p>
      <w:pPr>
        <w:spacing w:after="80"/>
        <w:ind w:left="360"/>
      </w:pPr>
      <w:r>
        <w:rPr>
          <w:rFonts w:ascii="Calibri" w:cs="Calibri" w:eastAsia="Calibri" w:hAnsi="Calibri"/>
          <w:i/>
          <w:iCs/>
          <w:sz w:val="20"/>
          <w:szCs w:val="20"/>
        </w:rPr>
        <w:t xml:space="preserve">Auctions do not eliminate strategic behaviour — they channel it productively. Bidders in spectrum auctions engage in sophisticated strategies, and concerns about collusion and demand reduction persist. The advantage of auctions was efficient allocation and revenue generation, not the elimination of strategic play.</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Suppose revenue equivalence holds and a seller is choosing between a first-price sealed-bid auction and an English ascending auction. A game theorist argues that despite yielding the same expected revenue, the seller should still care which format is used. Which of the following provides a valid reason for this advice?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Revenue equivalence relies on assumptions such as risk-neutral bidders and independent private values, which may not hold in the specific auction setting</w:t>
      </w:r>
    </w:p>
    <w:p>
      <w:pPr>
        <w:spacing w:after="120"/>
        <w:ind w:left="360"/>
      </w:pPr>
      <w:r>
        <w:rPr>
          <w:rFonts w:ascii="Calibri" w:cs="Calibri" w:eastAsia="Calibri" w:hAnsi="Calibri"/>
          <w:i/>
          <w:iCs/>
          <w:sz w:val="20"/>
          <w:szCs w:val="20"/>
        </w:rPr>
        <w:t xml:space="preserve">Revenue equivalence is a theoretical result contingent on specific assumptions: risk-neutral bidders, independent private values drawn from identical distributions, and no collusion or budget constraints. If any assumption is violated — for example, if bidders are risk-averse (which favours first-price auctions in terms of revenue) or if values have a common component (which introduces the winner's curse) — the formats can yield different expected revenues, making format choice consequential.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English auction always generates strictly higher revenue regardless of the assumptions because the visibly ascending price process creates more competitive bidding among participants</w:t>
      </w:r>
    </w:p>
    <w:p>
      <w:pPr>
        <w:spacing w:after="80"/>
        <w:ind w:left="360"/>
      </w:pPr>
      <w:r>
        <w:rPr>
          <w:rFonts w:ascii="Calibri" w:cs="Calibri" w:eastAsia="Calibri" w:hAnsi="Calibri"/>
          <w:i/>
          <w:iCs/>
          <w:sz w:val="20"/>
          <w:szCs w:val="20"/>
        </w:rPr>
        <w:t xml:space="preserve">While English auctions may create competitive dynamics, there is no general theoretical result showing they always outperform. Revenue equivalence demonstrates that under standard assumptions the formats are equivalent in expected revenue. 'Excitement' is not a formal factor in the theorem's analysis.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First-price sealed-bid auctions always generate more revenue because bidders cannot see when to stop</w:t>
      </w:r>
    </w:p>
    <w:p>
      <w:pPr>
        <w:spacing w:after="80"/>
        <w:ind w:left="360"/>
      </w:pPr>
      <w:r>
        <w:rPr>
          <w:rFonts w:ascii="Calibri" w:cs="Calibri" w:eastAsia="Calibri" w:hAnsi="Calibri"/>
          <w:i/>
          <w:iCs/>
          <w:sz w:val="20"/>
          <w:szCs w:val="20"/>
        </w:rPr>
        <w:t xml:space="preserve">This confuses the dynamics of the formats. In first-price auctions, rational bidders shade their bids below their valuations precisely because they pay their bid. Under standard assumptions, this shading is calibrated so that expected revenue equals that of other formats. There is no general revenue advantage.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Revenue equivalence only applies when comparing the English auction to the Vickrey auction, not across all four formats</w:t>
      </w:r>
    </w:p>
    <w:p>
      <w:pPr>
        <w:spacing w:after="80"/>
        <w:ind w:left="360"/>
      </w:pPr>
      <w:r>
        <w:rPr>
          <w:rFonts w:ascii="Calibri" w:cs="Calibri" w:eastAsia="Calibri" w:hAnsi="Calibri"/>
          <w:i/>
          <w:iCs/>
          <w:sz w:val="20"/>
          <w:szCs w:val="20"/>
        </w:rPr>
        <w:t xml:space="preserve">Revenue equivalence is a general result that applies across all four standard auction formats under the standard assumptions, not just between the English and Vickrey formats. The theorem's power lies precisely in its generality across seemingly very different mechanisms.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2026-02-20T08:54:45.283Z</dcterms:created>
  <dcterms:modified xsi:type="dcterms:W3CDTF">2026-02-20T08:54:45.283Z</dcterms:modified>
</cp:coreProperties>
</file>

<file path=docProps/custom.xml><?xml version="1.0" encoding="utf-8"?>
<Properties xmlns="http://schemas.openxmlformats.org/officeDocument/2006/custom-properties" xmlns:vt="http://schemas.openxmlformats.org/officeDocument/2006/docPropsVTypes"/>
</file>