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80"/>
        <w:jc w:val="center"/>
      </w:pPr>
      <w:r>
        <w:rPr>
          <w:rFonts w:ascii="Calibri" w:cs="Calibri" w:eastAsia="Calibri" w:hAnsi="Calibri"/>
          <w:sz w:val="24"/>
          <w:szCs w:val="24"/>
        </w:rPr>
        <w:t xml:space="preserve">Going Once, Going Twice: The Surprising Science of Auctions — In-Class Quiz</w:t>
      </w:r>
    </w:p>
    <w:p>
      <w:pPr>
        <w:spacing w:after="200"/>
        <w:jc w:val="center"/>
      </w:pPr>
      <w:r>
        <w:rPr>
          <w:rFonts w:ascii="Calibri" w:cs="Calibri" w:eastAsia="Calibri" w:hAnsi="Calibri"/>
          <w:b/>
          <w:bCs/>
          <w:sz w:val="28"/>
          <w:szCs w:val="28"/>
        </w:rPr>
        <w:t xml:space="preserve">Version B</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An oil company wins an auction for drilling rights in a region where the true amount of oil underground is uncertain but the same for all bidders. Each company has conducted its own geological survey to estimate the value. Why should the winning company be concerned about the winner's curse?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Winning implies their estimate was the highest, which in a common-value setting means it was likely the most overoptimistic relative to the true value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other companies may collude to drive up the price, forcing the winner to overpay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Oil prices may fall between the time of the auction and the time drilling begins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company used a private-value bidding strategy instead of accounting for common-value dynamics</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Which auction format is strategically equivalent to the first-price sealed-bid auction?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English ascending auction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No other format — each of the four standard auctions is strategically unique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Dutch descending auction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Vickrey second-price sealed-bid auction</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Suppose revenue equivalence holds and a seller is choosing between a first-price sealed-bid auction and an English ascending auction. A game theorist argues that despite yielding the same expected revenue, the seller should still care which format is used. Which of the following provides a valid reason for this advice?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Revenue equivalence relies on assumptions such as risk-neutral bidders and independent private values, which may not hold in the specific auction setting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Revenue equivalence only applies when comparing the English auction to the Vickrey auction, not across all four formats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English auction always generates strictly higher revenue regardless of the assumptions because the visibly ascending price process creates more competitive bidding among participants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First-price sealed-bid auctions always generate more revenue because bidders cannot see when to stop</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The FCC spectrum auctions in the United States are a landmark example of mechanism design. What was the primary advantage of using auctions to allocate spectrum licenses compared to the previously used methods?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Auctions prevented any single firm from acquiring too many licenses, ensuring perfect market competition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Auctions eliminated all strategic behaviour by firms, leading to perfectly honest bidding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Auctions were faster and cheaper to administer than comparative hearings, which previously required individual FCC evaluations of each firm's qualifications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Auctions allocated licenses to firms that valued them most highly while generating substantial government revenue</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How does the winner's curse relate to Bayesian updating?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Bayesian updating tells the winner to raise their estimate because winning confirms their superior information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rational bidder should update their estimate of the item's value downward conditional on the new information that their bid was the highest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Bayesian updating is only relevant in private-value auctions where each bidder knows their own valuation with certainty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Bayesian updating instructs bidders to ignore the outcome of the auction and rely solely on their pre-auction estimate</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The revenue equivalence theorem states that, under standard assumptions, all four standard auction formats yield the same expected revenue to the seller. Which of the following is a necessary assumption for this result to hold?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item being sold must have a known, objective market value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Bidders have independent private valuations drawn from the same probability distribution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There must be at least ten bidders participating in the auction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auctioneer must set a minimum reserve price above zero</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In a Dutch auction, how is the price determined?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Bidders openly raise the price by calling out increasingly higher bids until no one bids further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Bidders submit sealed bids simultaneously and the highest bidder pays the second-highest bid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Bidders submit sealed bids simultaneously and the highest bidder pays their own bid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auctioneer starts at a high price and gradually lowers it until a bidder accepts</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Why is bidding below your true valuation a poor strategy in a Vickrey auction but potentially rational in a first-price sealed-bid auction?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Bidding below your valuation is actually a poor strategy in both auction formats under rational bidding equilibrium, since it always reduces your chance of winning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Vickrey auction penalises low bidders by requiring them to pay a fee if they lose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In a first-price auction, other bidders can see your bid and will lower theirs in response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In a Vickrey auction, your bid affects only whether you win, not the price you pay; in a first-price auction, your bid directly determines your payment</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A bidder in a Vickrey auction values an item at $500 and bids $500. The second-highest bid is $380. What does the winning bidder pay?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$380</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$381</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$500</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$440</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In a Vickrey (second-price sealed-bid) auction, what is the weakly dominant strategy for a bidder?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Bid exactly your true valuation of the item</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Bid strategically based on your estimate of what others will bid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Bid below your true valuation to ensure a larger surplus if you win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Bid slightly above your true valuation to increase the chance of winning</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2026-02-20T08:54:45.245Z</dcterms:created>
  <dcterms:modified xsi:type="dcterms:W3CDTF">2026-02-20T08:54:45.245Z</dcterms:modified>
</cp:coreProperties>
</file>

<file path=docProps/custom.xml><?xml version="1.0" encoding="utf-8"?>
<Properties xmlns="http://schemas.openxmlformats.org/officeDocument/2006/custom-properties" xmlns:vt="http://schemas.openxmlformats.org/officeDocument/2006/docPropsVTypes"/>
</file>