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Going Once, Going Twice: The Surprising Science of Auctions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foundations, empirical evidence, and real-world applications needed for a comprehensive auction theory chapter. Vickrey (1961) and Myerson (1981) establish the theoretical bedrock of dominant strategies and revenue equivalence. Krishna (2009) and Levin (2004) offer rigorous yet pedagogically accessible treatments of all four standard auction formats and their strategic properties. Kagel and Levin (2002) document the winner's curse phenomenon with experimental and field evidence from oil lease auctions, connecting theory to behavioral reality. Milgrom (2004) and Cramton (1997) bridge theory to practice through detailed analysis of spectrum auction design, showing how game-theoretic insights generated tens of billions in government revenue. The 2020 Nobel Prize documentation (Royal Swedish Academy) synthesizes these contributions and validates their societal impact. Together, these sources enable students to construct dominant strategy arguments, understand revenue equivalence through simulation and proof, diagnose winner's curse through Bayesian reasoning, and appreciate how auction theory transformed public policy—exemplifying game theory's real-world power. The pedagogical progression moves from clean theoretical results (Vickrey, revenue equivalence) to behavioral anomalies (winner's curse) to complex practical design (spectrum auctions), giving students both analytical tools and appreciation for theory-practice integration in mechanism design.</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William Vickrey (1961). </w:t>
      </w:r>
      <w:r>
        <w:rPr>
          <w:rFonts w:ascii="Calibri" w:cs="Calibri" w:eastAsia="Calibri" w:hAnsi="Calibri"/>
          <w:i/>
          <w:iCs/>
          <w:sz w:val="22"/>
          <w:szCs w:val="22"/>
        </w:rPr>
        <w:t xml:space="preserve">Counterspeculation, Auctions, and Competitive Sealed Tenders</w:t>
      </w:r>
      <w:r>
        <w:rPr>
          <w:rFonts w:ascii="Calibri" w:cs="Calibri" w:eastAsia="Calibri" w:hAnsi="Calibri"/>
          <w:color w:val="666666"/>
          <w:sz w:val="20"/>
          <w:szCs w:val="20"/>
        </w:rPr>
        <w:t xml:space="preserve"> DOI: 10.1111/j.1540-6261.1961.tb02789.x</w:t>
      </w:r>
      <w:r>
        <w:rPr>
          <w:rFonts w:ascii="Calibri" w:cs="Calibri" w:eastAsia="Calibri" w:hAnsi="Calibri"/>
          <w:color w:val="336699"/>
          <w:sz w:val="20"/>
          <w:szCs w:val="20"/>
        </w:rPr>
        <w:t xml:space="preserve"> https://www.jstor.org/stable/2977633</w:t>
      </w:r>
    </w:p>
    <w:p>
      <w:pPr>
        <w:spacing w:after="40"/>
        <w:ind w:left="360"/>
      </w:pPr>
      <w:r>
        <w:rPr>
          <w:rFonts w:ascii="Calibri" w:cs="Calibri" w:eastAsia="Calibri" w:hAnsi="Calibri"/>
          <w:sz w:val="22"/>
          <w:szCs w:val="22"/>
        </w:rPr>
        <w:t xml:space="preserve">This seminal paper introduces the second-price sealed-bid auction (now known as the Vickrey auction) and demonstrates that truthful bidding is a dominant strategy. Vickrey showed that this sealed-bid format produces outcomes strategically equivalent to the English ascending auction, providing the foundational insight that bidding one's true valuation is optimal regardless of others' strategies.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paper for the chapter's analysis of Vickrey auctions and the dominant strategy property. Students construct the dominance reasoning themselves based on Vickrey's elegant proof structure, making this the theoretical cornerstone of the chapter.</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Vijay Krishna (2009 (2nd edition, original 2002)). </w:t>
      </w:r>
      <w:r>
        <w:rPr>
          <w:rFonts w:ascii="Calibri" w:cs="Calibri" w:eastAsia="Calibri" w:hAnsi="Calibri"/>
          <w:i/>
          <w:iCs/>
          <w:sz w:val="22"/>
          <w:szCs w:val="22"/>
        </w:rPr>
        <w:t xml:space="preserve">Auction Theory</w:t>
      </w:r>
      <w:r>
        <w:rPr>
          <w:rFonts w:ascii="Calibri" w:cs="Calibri" w:eastAsia="Calibri" w:hAnsi="Calibri"/>
          <w:color w:val="336699"/>
          <w:sz w:val="20"/>
          <w:szCs w:val="20"/>
        </w:rPr>
        <w:t xml:space="preserve"> https://www.elsevier.com/books/auction-theory/krishna/978-0-12-374507-1</w:t>
      </w:r>
    </w:p>
    <w:p>
      <w:pPr>
        <w:spacing w:after="40"/>
        <w:ind w:left="360"/>
      </w:pPr>
      <w:r>
        <w:rPr>
          <w:rFonts w:ascii="Calibri" w:cs="Calibri" w:eastAsia="Calibri" w:hAnsi="Calibri"/>
          <w:sz w:val="22"/>
          <w:szCs w:val="22"/>
        </w:rPr>
        <w:t xml:space="preserve">Comprehensive graduate textbook covering all standard auction formats (English, Dutch, first-price, second-price), revenue equivalence theorem with complete proofs, private and common value models, and mechanism design. Includes detailed treatments of bidding strategies, efficiency, and revenue maximization across auction types. Praised by Robert Wilson and Eric Maskin as the central reference in auction theory.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The authoritative textbook providing rigorous yet accessible coverage of all four auction formats and revenue equivalence. Essential for understanding the mathematical foundations and comparative analysis of auction mechanisms that form the chapter's analytical backbone.</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Paul Milgrom (2004). </w:t>
      </w:r>
      <w:r>
        <w:rPr>
          <w:rFonts w:ascii="Calibri" w:cs="Calibri" w:eastAsia="Calibri" w:hAnsi="Calibri"/>
          <w:i/>
          <w:iCs/>
          <w:sz w:val="22"/>
          <w:szCs w:val="22"/>
        </w:rPr>
        <w:t xml:space="preserve">Putting Auction Theory to Work</w:t>
      </w:r>
      <w:r>
        <w:rPr>
          <w:rFonts w:ascii="Calibri" w:cs="Calibri" w:eastAsia="Calibri" w:hAnsi="Calibri"/>
          <w:color w:val="336699"/>
          <w:sz w:val="20"/>
          <w:szCs w:val="20"/>
        </w:rPr>
        <w:t xml:space="preserve"> https://www.cambridge.org/core/books/putting-auction-theory-to-work/63FA2A2D332E9E3A3238B6D5B650F2A5</w:t>
      </w:r>
    </w:p>
    <w:p>
      <w:pPr>
        <w:spacing w:after="40"/>
        <w:ind w:left="360"/>
      </w:pPr>
      <w:r>
        <w:rPr>
          <w:rFonts w:ascii="Calibri" w:cs="Calibri" w:eastAsia="Calibri" w:hAnsi="Calibri"/>
          <w:sz w:val="22"/>
          <w:szCs w:val="22"/>
        </w:rPr>
        <w:t xml:space="preserve">Bridges theoretical auction theory with practical applications, emphasizing the FCC spectrum auctions designed by Milgrom and Wilson. Covers optimal auctions, multi-unit auctions, package auctions, and the simultaneous multiple round auction format. Demonstrates how envelope theorem techniques apply to auction analysis and evaluates practical responses to limitations of classical designs like Vickrey auctions.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Critical for the chapter's culmination on real-world auction design, particularly the FCC spectrum auctions. Shows how theory directly shaped policy and generated billions in government revenue, exemplifying game theory's real-world power.</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Roger B. Myerson (1981). </w:t>
      </w:r>
      <w:r>
        <w:rPr>
          <w:rFonts w:ascii="Calibri" w:cs="Calibri" w:eastAsia="Calibri" w:hAnsi="Calibri"/>
          <w:i/>
          <w:iCs/>
          <w:sz w:val="22"/>
          <w:szCs w:val="22"/>
        </w:rPr>
        <w:t xml:space="preserve">Optimal Auction Design</w:t>
      </w:r>
      <w:r>
        <w:rPr>
          <w:rFonts w:ascii="Calibri" w:cs="Calibri" w:eastAsia="Calibri" w:hAnsi="Calibri"/>
          <w:color w:val="666666"/>
          <w:sz w:val="20"/>
          <w:szCs w:val="20"/>
        </w:rPr>
        <w:t xml:space="preserve"> DOI: 10.1287/moor.6.1.58</w:t>
      </w:r>
      <w:r>
        <w:rPr>
          <w:rFonts w:ascii="Calibri" w:cs="Calibri" w:eastAsia="Calibri" w:hAnsi="Calibri"/>
          <w:color w:val="336699"/>
          <w:sz w:val="20"/>
          <w:szCs w:val="20"/>
        </w:rPr>
        <w:t xml:space="preserve"> https://pubsonline.informs.org/doi/10.1287/moor.6.1.58</w:t>
      </w:r>
    </w:p>
    <w:p>
      <w:pPr>
        <w:spacing w:after="40"/>
        <w:ind w:left="360"/>
      </w:pPr>
      <w:r>
        <w:rPr>
          <w:rFonts w:ascii="Calibri" w:cs="Calibri" w:eastAsia="Calibri" w:hAnsi="Calibri"/>
          <w:sz w:val="22"/>
          <w:szCs w:val="22"/>
        </w:rPr>
        <w:t xml:space="preserve">Foundational paper in mechanism design that characterizes optimal auctions for sellers with imperfect information about bidder valuations. Introduces the revelation principle approach to auction design and derives conditions under which various auction mechanisms maximize expected revenue. Establishes the mathematical framework for revenue equivalence and optimal reserve prices.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theoretical foundation for revenue equivalence and mechanism design principles. Essential for understanding why different auction formats yield equivalent expected revenue under standard assumptions and how optimal auctions are characterized.</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John H. Kagel and Dan Levin (2002). </w:t>
      </w:r>
      <w:r>
        <w:rPr>
          <w:rFonts w:ascii="Calibri" w:cs="Calibri" w:eastAsia="Calibri" w:hAnsi="Calibri"/>
          <w:i/>
          <w:iCs/>
          <w:sz w:val="22"/>
          <w:szCs w:val="22"/>
        </w:rPr>
        <w:t xml:space="preserve">Common Value Auctions and the Winner's Curse</w:t>
      </w:r>
      <w:r>
        <w:rPr>
          <w:rFonts w:ascii="Calibri" w:cs="Calibri" w:eastAsia="Calibri" w:hAnsi="Calibri"/>
          <w:color w:val="336699"/>
          <w:sz w:val="20"/>
          <w:szCs w:val="20"/>
        </w:rPr>
        <w:t xml:space="preserve"> https://press.princeton.edu/books/paperback/9780691218953/common-value-auctions-and-the-winners-curse</w:t>
      </w:r>
    </w:p>
    <w:p>
      <w:pPr>
        <w:spacing w:after="40"/>
        <w:ind w:left="360"/>
      </w:pPr>
      <w:r>
        <w:rPr>
          <w:rFonts w:ascii="Calibri" w:cs="Calibri" w:eastAsia="Calibri" w:hAnsi="Calibri"/>
          <w:sz w:val="22"/>
          <w:szCs w:val="22"/>
        </w:rPr>
        <w:t xml:space="preserve">Comprehensive experimental and theoretical analysis of the winner's curse phenomenon in common value auctions. Documents how bidders, including experienced ones, fail to account for the informational content of winning. Covers the disastrous early OCS oil lease auctions where companies suffered unexpectedly low returns, and how bidders learn (or fail to learn) to avoid overbidding.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Essential for the chapter's treatment of the winner's curse and common-value auctions. Provides both theoretical analysis and real-world evidence from oil lease auctions, connecting to Bayesian updating and showing why winning should cause bidders to revise their value estimates downward.</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Royal Swedish Academy of Sciences (summarizing work of Paul Milgrom and Robert Wilson) (2020). </w:t>
      </w:r>
      <w:r>
        <w:rPr>
          <w:rFonts w:ascii="Calibri" w:cs="Calibri" w:eastAsia="Calibri" w:hAnsi="Calibri"/>
          <w:i/>
          <w:iCs/>
          <w:sz w:val="22"/>
          <w:szCs w:val="22"/>
        </w:rPr>
        <w:t xml:space="preserve">Improvements to auction theory and inventions of new auction formats (Nobel Prize Scientific Background)</w:t>
      </w:r>
      <w:r>
        <w:rPr>
          <w:rFonts w:ascii="Calibri" w:cs="Calibri" w:eastAsia="Calibri" w:hAnsi="Calibri"/>
          <w:color w:val="336699"/>
          <w:sz w:val="20"/>
          <w:szCs w:val="20"/>
        </w:rPr>
        <w:t xml:space="preserve"> https://www.nobelprize.org/prizes/economic-sciences/2020/press-release/</w:t>
      </w:r>
    </w:p>
    <w:p>
      <w:pPr>
        <w:spacing w:after="40"/>
        <w:ind w:left="360"/>
      </w:pPr>
      <w:r>
        <w:rPr>
          <w:rFonts w:ascii="Calibri" w:cs="Calibri" w:eastAsia="Calibri" w:hAnsi="Calibri"/>
          <w:sz w:val="22"/>
          <w:szCs w:val="22"/>
        </w:rPr>
        <w:t xml:space="preserve">Official Nobel Prize documentation explaining Milgrom and Wilson's contributions to auction theory. Wilson developed theory for common value auctions and the winner's curse; Milgrom formulated general theories allowing both common and private values, analyzed bidding strategies, and showed that formats revealing more information generate higher revenue. Their designs for FCC spectrum auctions have generated tens of billions globally.</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summary of the 2020 Nobel Prize work that culminates the chapter. Directly connects to spectrum auctions, winner's curse, and the practical impact of auction theory on policy and resource allocation worldwide.</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Peter Cramton (1997). </w:t>
      </w:r>
      <w:r>
        <w:rPr>
          <w:rFonts w:ascii="Calibri" w:cs="Calibri" w:eastAsia="Calibri" w:hAnsi="Calibri"/>
          <w:i/>
          <w:iCs/>
          <w:sz w:val="22"/>
          <w:szCs w:val="22"/>
        </w:rPr>
        <w:t xml:space="preserve">The FCC Spectrum Auctions: An Early Assessment</w:t>
      </w:r>
      <w:r>
        <w:rPr>
          <w:rFonts w:ascii="Calibri" w:cs="Calibri" w:eastAsia="Calibri" w:hAnsi="Calibri"/>
          <w:color w:val="336699"/>
          <w:sz w:val="20"/>
          <w:szCs w:val="20"/>
        </w:rPr>
        <w:t xml:space="preserve"> https://cramton.umd.edu/papers1995-1999/97jems-fcc-spectrum-auctions.pdf</w:t>
      </w:r>
    </w:p>
    <w:p>
      <w:pPr>
        <w:spacing w:after="40"/>
        <w:ind w:left="360"/>
      </w:pPr>
      <w:r>
        <w:rPr>
          <w:rFonts w:ascii="Calibri" w:cs="Calibri" w:eastAsia="Calibri" w:hAnsi="Calibri"/>
          <w:sz w:val="22"/>
          <w:szCs w:val="22"/>
        </w:rPr>
        <w:t xml:space="preserve">Early comprehensive assessment of FCC spectrum auction design and performance from 1994-1996. Analyzes the simultaneous multiple round auction format, activity rules, and design choices. Evaluates efficiency as primary goal (not just revenue maximization) and examines how auctions assign licenses to firms that value them most. Documents that first narrowband auction raised $617 million in 47 rounds.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detailed analysis of the FCC auction design process and outcomes, essential for students understanding how the simultaneous ascending auction works in practice and how design choices affect efficiency and revenue.</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Jonathan Levin (2004). </w:t>
      </w:r>
      <w:r>
        <w:rPr>
          <w:rFonts w:ascii="Calibri" w:cs="Calibri" w:eastAsia="Calibri" w:hAnsi="Calibri"/>
          <w:i/>
          <w:iCs/>
          <w:sz w:val="22"/>
          <w:szCs w:val="22"/>
        </w:rPr>
        <w:t xml:space="preserve">Auction Theory (Lecture Notes by Jonathan Levin)</w:t>
      </w:r>
      <w:r>
        <w:rPr>
          <w:rFonts w:ascii="Calibri" w:cs="Calibri" w:eastAsia="Calibri" w:hAnsi="Calibri"/>
          <w:color w:val="336699"/>
          <w:sz w:val="20"/>
          <w:szCs w:val="20"/>
        </w:rPr>
        <w:t xml:space="preserve"> https://web.stanford.edu/~jdlevin/Econ%20286/Auctions.pdf</w:t>
      </w:r>
    </w:p>
    <w:p>
      <w:pPr>
        <w:spacing w:after="40"/>
        <w:ind w:left="360"/>
      </w:pPr>
      <w:r>
        <w:rPr>
          <w:rFonts w:ascii="Calibri" w:cs="Calibri" w:eastAsia="Calibri" w:hAnsi="Calibri"/>
          <w:sz w:val="22"/>
          <w:szCs w:val="22"/>
        </w:rPr>
        <w:t xml:space="preserve">Comprehensive lecture notes covering fundamental auction theory including dominant strategies in second-price auctions (with proof), first-price auction equilibrium using first-order conditions and envelope theorem approaches, and revenue equivalence theorem with complete proof. Provides clear, pedagogical treatment of why all standard auctions generate same expected revenue under standard assumptions.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Excellent pedagogical resource for understanding revenue equivalence theorem with accessible proofs. The envelope theorem approach and intuitive explanations make complex results comprehensible for students learning to analyze auction strategies.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2026-02-20T07:26:25.972Z</dcterms:created>
  <dcterms:modified xsi:type="dcterms:W3CDTF">2026-02-20T07:26:25.972Z</dcterms:modified>
</cp:coreProperties>
</file>

<file path=docProps/custom.xml><?xml version="1.0" encoding="utf-8"?>
<Properties xmlns="http://schemas.openxmlformats.org/officeDocument/2006/custom-properties" xmlns:vt="http://schemas.openxmlformats.org/officeDocument/2006/docPropsVTypes"/>
</file>