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Splitting the Pie: The Logic of Bargaining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foundation, formal proofs, and real-world applications for understanding bargaining theory. Nash (1950) and Rubinstein (1982) establish the two fundamental approaches—axiomatic and strategic—that form the chapter's core. Binmore, Rubinstein, and Wolinsky (1986) provide the crucial convergence result showing these approaches yield identical outcomes, representing one of game theory's most elegant theoretical achievements. Osborne and Rubinstein (1990) and Muthoo (1999) offer comprehensive textbook treatments suitable for advanced students. Fisher, Ury, and Patton (1981) bridge theory and practice through the BATNA concept, making the insights accessible beyond academia. Acemoglu and Shimer (1995) and Walter (2009) demonstrate applications to labor economics and international conflict, showing how information asymmetries and commitment problems create bargaining failures in consequential real-world settings. Together, these sources support the pedagogical goal of helping students understand what determines 'who gets what' in strategic negotiations, why patience is power, how outside options matter, and when bargaining breaks down despite potential mutual gains.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Nash (1950). </w:t>
      </w:r>
      <w:r>
        <w:rPr>
          <w:rFonts w:ascii="Calibri" w:cs="Calibri" w:eastAsia="Calibri" w:hAnsi="Calibri"/>
          <w:i/>
          <w:iCs/>
          <w:sz w:val="22"/>
          <w:szCs w:val="22"/>
        </w:rPr>
        <w:t xml:space="preserve">The Bargaining Problem</w:t>
      </w:r>
      <w:r>
        <w:rPr>
          <w:rFonts w:ascii="Calibri" w:cs="Calibri" w:eastAsia="Calibri" w:hAnsi="Calibri"/>
          <w:color w:val="666666"/>
          <w:sz w:val="20"/>
          <w:szCs w:val="20"/>
        </w:rPr>
        <w:t xml:space="preserve"> DOI: 10.2307/1907266</w:t>
      </w:r>
      <w:r>
        <w:rPr>
          <w:rFonts w:ascii="Calibri" w:cs="Calibri" w:eastAsia="Calibri" w:hAnsi="Calibri"/>
          <w:color w:val="336699"/>
          <w:sz w:val="20"/>
          <w:szCs w:val="20"/>
        </w:rPr>
        <w:t xml:space="preserve"> https://www.jstor.org/stable/1907266</w:t>
      </w:r>
    </w:p>
    <w:p>
      <w:pPr>
        <w:spacing w:after="40"/>
        <w:ind w:left="360"/>
      </w:pPr>
      <w:r>
        <w:rPr>
          <w:rFonts w:ascii="Calibri" w:cs="Calibri" w:eastAsia="Calibri" w:hAnsi="Calibri"/>
          <w:sz w:val="22"/>
          <w:szCs w:val="22"/>
        </w:rPr>
        <w:t xml:space="preserve">Nash's foundational paper presents the axiomatic approach to bargaining, introducing the Nash bargaining solution. The paper defines a set of reasonable axioms (scale invariance, symmetry, Pareto efficiency, and independence of irrelevant alternatives) and proves that these axioms uniquely characterize a specific solution to the two-person bargaining problem. The Nash product maximization formula emerges as the unique solution satisfying these fairness principles.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seminal work establishing the axiomatic foundation for the Nash bargaining solution. It provides the theoretical basis for understanding how fairness principles can determine bargaining outcomes, which is central to the chapter's comparison between axiomatic and strategic approaches.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Ariel Rubinstein (1982). </w:t>
      </w:r>
      <w:r>
        <w:rPr>
          <w:rFonts w:ascii="Calibri" w:cs="Calibri" w:eastAsia="Calibri" w:hAnsi="Calibri"/>
          <w:i/>
          <w:iCs/>
          <w:sz w:val="22"/>
          <w:szCs w:val="22"/>
        </w:rPr>
        <w:t xml:space="preserve">Perfect Equilibrium in a Bargaining Model</w:t>
      </w:r>
      <w:r>
        <w:rPr>
          <w:rFonts w:ascii="Calibri" w:cs="Calibri" w:eastAsia="Calibri" w:hAnsi="Calibri"/>
          <w:color w:val="666666"/>
          <w:sz w:val="20"/>
          <w:szCs w:val="20"/>
        </w:rPr>
        <w:t xml:space="preserve"> DOI: 10.2307/1912531</w:t>
      </w:r>
      <w:r>
        <w:rPr>
          <w:rFonts w:ascii="Calibri" w:cs="Calibri" w:eastAsia="Calibri" w:hAnsi="Calibri"/>
          <w:color w:val="336699"/>
          <w:sz w:val="20"/>
          <w:szCs w:val="20"/>
        </w:rPr>
        <w:t xml:space="preserve"> https://www.jstor.org/stable/1912531</w:t>
      </w:r>
    </w:p>
    <w:p>
      <w:pPr>
        <w:spacing w:after="40"/>
        <w:ind w:left="360"/>
      </w:pPr>
      <w:r>
        <w:rPr>
          <w:rFonts w:ascii="Calibri" w:cs="Calibri" w:eastAsia="Calibri" w:hAnsi="Calibri"/>
          <w:sz w:val="22"/>
          <w:szCs w:val="22"/>
        </w:rPr>
        <w:t xml:space="preserve">Rubinstein's seminal paper introduces the alternating-offers bargaining model. Two players make sequential proposals to divide a pie, with each able to accept or reject. Using discount factors to capture time preferences, Rubinstein proves the existence of a unique subgame perfect equilibrium. The equilibrium shares depend on players' discount factors (patience), with more patient players receiving larger shares. Agreement is reached immediately without delay.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paper for the strategic, non-cooperative approach to bargaining. It demonstrates how patience (discount factors) determines bargaining power and provides the strategic microfoundation that the chapter uses to show convergence with Nash's axiomatic approach.</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Ken Binmore, Ariel Rubinstein, and Asher Wolinsky (1986). </w:t>
      </w:r>
      <w:r>
        <w:rPr>
          <w:rFonts w:ascii="Calibri" w:cs="Calibri" w:eastAsia="Calibri" w:hAnsi="Calibri"/>
          <w:i/>
          <w:iCs/>
          <w:sz w:val="22"/>
          <w:szCs w:val="22"/>
        </w:rPr>
        <w:t xml:space="preserve">The Nash Bargaining Solution in Economic Modelling</w:t>
      </w:r>
      <w:r>
        <w:rPr>
          <w:rFonts w:ascii="Calibri" w:cs="Calibri" w:eastAsia="Calibri" w:hAnsi="Calibri"/>
          <w:color w:val="666666"/>
          <w:sz w:val="20"/>
          <w:szCs w:val="20"/>
        </w:rPr>
        <w:t xml:space="preserve"> DOI: 10.2307/2555382</w:t>
      </w:r>
      <w:r>
        <w:rPr>
          <w:rFonts w:ascii="Calibri" w:cs="Calibri" w:eastAsia="Calibri" w:hAnsi="Calibri"/>
          <w:color w:val="336699"/>
          <w:sz w:val="20"/>
          <w:szCs w:val="20"/>
        </w:rPr>
        <w:t xml:space="preserve"> https://www.jstor.org/stable/2555382</w:t>
      </w:r>
    </w:p>
    <w:p>
      <w:pPr>
        <w:spacing w:after="40"/>
        <w:ind w:left="360"/>
      </w:pPr>
      <w:r>
        <w:rPr>
          <w:rFonts w:ascii="Calibri" w:cs="Calibri" w:eastAsia="Calibri" w:hAnsi="Calibri"/>
          <w:sz w:val="22"/>
          <w:szCs w:val="22"/>
        </w:rPr>
        <w:t xml:space="preserve">This paper establishes the crucial relationship between Nash's axiomatic bargaining theory and Rubinstein's strategic approach. The authors consider two strategic models: one based on time preference (discounting) and one based on risk of breakdown. They prove that as the time between offers becomes negligible (or breakdown risk vanishes), the unique perfect equilibrium outcome converges to the Nash bargaining solution with appropriately defined utilities and disagreement points.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the elegant convergence result that is central to the chapter's narrative: two radically different approaches (axiomatic fairness and strategic self-interest) yield the same solution. This demonstrates one of game theory's most remarkable theoretical insights.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Roger Fisher, William Ury, and Bruce Patton (1981 (3rd edition 2011)). </w:t>
      </w:r>
      <w:r>
        <w:rPr>
          <w:rFonts w:ascii="Calibri" w:cs="Calibri" w:eastAsia="Calibri" w:hAnsi="Calibri"/>
          <w:i/>
          <w:iCs/>
          <w:sz w:val="22"/>
          <w:szCs w:val="22"/>
        </w:rPr>
        <w:t xml:space="preserve">Getting to Yes: Negotiating Agreement Without Giving In</w:t>
      </w:r>
      <w:r>
        <w:rPr>
          <w:rFonts w:ascii="Calibri" w:cs="Calibri" w:eastAsia="Calibri" w:hAnsi="Calibri"/>
          <w:color w:val="336699"/>
          <w:sz w:val="20"/>
          <w:szCs w:val="20"/>
        </w:rPr>
        <w:t xml:space="preserve"> https://www.amazon.com/Getting-Yes-Negotiating-Agreement-Without/dp/0143118757</w:t>
      </w:r>
    </w:p>
    <w:p>
      <w:pPr>
        <w:spacing w:after="40"/>
        <w:ind w:left="360"/>
      </w:pPr>
      <w:r>
        <w:rPr>
          <w:rFonts w:ascii="Calibri" w:cs="Calibri" w:eastAsia="Calibri" w:hAnsi="Calibri"/>
          <w:sz w:val="22"/>
          <w:szCs w:val="22"/>
        </w:rPr>
        <w:t xml:space="preserve">This influential practitioner-oriented book introduces the concept of BATNA (Best Alternative to a Negotiated Agreement) and principles of principled negotiation. The authors advocate separating people from problems, focusing on interests rather than positions, inventing options for mutual gain, and using objective criteria. BATNA is presented as the key determinant of negotiating power and the benchmark for evaluating proposed agreements.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While not a theoretical work, this book popularized the BATNA concept that connects directly to the chapter's discussion of outside options. It provides the bridge between formal game theory and practical negotiation, making the theoretical insights accessible to real-world applications.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Martin J. Osborne and Ariel Rubinstein (1990). </w:t>
      </w:r>
      <w:r>
        <w:rPr>
          <w:rFonts w:ascii="Calibri" w:cs="Calibri" w:eastAsia="Calibri" w:hAnsi="Calibri"/>
          <w:i/>
          <w:iCs/>
          <w:sz w:val="22"/>
          <w:szCs w:val="22"/>
        </w:rPr>
        <w:t xml:space="preserve">Bargaining and Markets</w:t>
      </w:r>
      <w:r>
        <w:rPr>
          <w:rFonts w:ascii="Calibri" w:cs="Calibri" w:eastAsia="Calibri" w:hAnsi="Calibri"/>
          <w:color w:val="336699"/>
          <w:sz w:val="20"/>
          <w:szCs w:val="20"/>
        </w:rPr>
        <w:t xml:space="preserve"> https://www.elibrary.ru/item.asp?id=6959156</w:t>
      </w:r>
    </w:p>
    <w:p>
      <w:pPr>
        <w:spacing w:after="40"/>
        <w:ind w:left="360"/>
      </w:pPr>
      <w:r>
        <w:rPr>
          <w:rFonts w:ascii="Calibri" w:cs="Calibri" w:eastAsia="Calibri" w:hAnsi="Calibri"/>
          <w:sz w:val="22"/>
          <w:szCs w:val="22"/>
        </w:rPr>
        <w:t xml:space="preserve">This comprehensive textbook provides detailed treatment of both axiomatic and strategic bargaining theory. It covers the Nash bargaining solution, Rubinstein's alternating-offers model, the relationship between the two approaches, and extensions including bargaining with outside options, incomplete information, and multiple players. The book provides rigorous mathematical foundations while explaining economic intuitions.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standard graduate-level textbook for bargaining theory, providing comprehensive coverage of both Nash and Rubinstein approaches. It would serve as the primary technical reference for students seeking deeper understanding of the formal models presented in the chapter.</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Abhinay Muthoo (1999). </w:t>
      </w:r>
      <w:r>
        <w:rPr>
          <w:rFonts w:ascii="Calibri" w:cs="Calibri" w:eastAsia="Calibri" w:hAnsi="Calibri"/>
          <w:i/>
          <w:iCs/>
          <w:sz w:val="22"/>
          <w:szCs w:val="22"/>
        </w:rPr>
        <w:t xml:space="preserve">Bargaining Theory with Applications</w:t>
      </w:r>
      <w:r>
        <w:rPr>
          <w:rFonts w:ascii="Calibri" w:cs="Calibri" w:eastAsia="Calibri" w:hAnsi="Calibri"/>
          <w:color w:val="666666"/>
          <w:sz w:val="20"/>
          <w:szCs w:val="20"/>
        </w:rPr>
        <w:t xml:space="preserve"> DOI: 10.1017/CBO9780511607950</w:t>
      </w:r>
      <w:r>
        <w:rPr>
          <w:rFonts w:ascii="Calibri" w:cs="Calibri" w:eastAsia="Calibri" w:hAnsi="Calibri"/>
          <w:color w:val="336699"/>
          <w:sz w:val="20"/>
          <w:szCs w:val="20"/>
        </w:rPr>
        <w:t xml:space="preserve"> https://doi.org/10.1017/CBO9780511607950</w:t>
      </w:r>
    </w:p>
    <w:p>
      <w:pPr>
        <w:spacing w:after="40"/>
        <w:ind w:left="360"/>
      </w:pPr>
      <w:r>
        <w:rPr>
          <w:rFonts w:ascii="Calibri" w:cs="Calibri" w:eastAsia="Calibri" w:hAnsi="Calibri"/>
          <w:sz w:val="22"/>
          <w:szCs w:val="22"/>
        </w:rPr>
        <w:t xml:space="preserve">Muthoo's book provides comprehensive coverage of bargaining theory with extensive treatment of asymmetric information, outside options versus inside options, and applications to economics and political science. Chapter 9 specifically addresses bargaining with asymmetric information, analyzing how private information about reservation values affects outcomes and can lead to bargaining failure even when gains from trade exist.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textbook provides detailed analysis of bargaining failures due to information asymmetry, which the chapter identifies as a key reason negotiations break down despite available mutual gains. It also clarifies the important distinction between outside and inside options in bargaining.</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Daron Acemoglu and Robert Shimer (1995). </w:t>
      </w:r>
      <w:r>
        <w:rPr>
          <w:rFonts w:ascii="Calibri" w:cs="Calibri" w:eastAsia="Calibri" w:hAnsi="Calibri"/>
          <w:i/>
          <w:iCs/>
          <w:sz w:val="22"/>
          <w:szCs w:val="22"/>
        </w:rPr>
        <w:t xml:space="preserve">Asymmetric Information, Bargaining, and Unemployment Fluctuations</w:t>
      </w:r>
      <w:r>
        <w:rPr>
          <w:rFonts w:ascii="Calibri" w:cs="Calibri" w:eastAsia="Calibri" w:hAnsi="Calibri"/>
          <w:color w:val="666666"/>
          <w:sz w:val="20"/>
          <w:szCs w:val="20"/>
        </w:rPr>
        <w:t xml:space="preserve"> DOI: 10.2307/2527243</w:t>
      </w:r>
      <w:r>
        <w:rPr>
          <w:rFonts w:ascii="Calibri" w:cs="Calibri" w:eastAsia="Calibri" w:hAnsi="Calibri"/>
          <w:color w:val="336699"/>
          <w:sz w:val="20"/>
          <w:szCs w:val="20"/>
        </w:rPr>
        <w:t xml:space="preserve"> https://economics.mit.edu/sites/default/files/publications/asymmetric-information-bargaining-unemployment-flu.pdf</w:t>
      </w:r>
    </w:p>
    <w:p>
      <w:pPr>
        <w:spacing w:after="40"/>
        <w:ind w:left="360"/>
      </w:pPr>
      <w:r>
        <w:rPr>
          <w:rFonts w:ascii="Calibri" w:cs="Calibri" w:eastAsia="Calibri" w:hAnsi="Calibri"/>
          <w:sz w:val="22"/>
          <w:szCs w:val="22"/>
        </w:rPr>
        <w:t xml:space="preserve">This paper analyzes how asymmetric information affects bargaining outcomes in labor markets. It shows that when firms have private information about productivity, decentralized bargaining induces contractual incompleteness and increases inefficiency compared to optimal contracts. The presence of private information creates additional frictions beyond those in complete-information bargaining models.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a concrete economic application demonstrating how information asymmetry creates bargaining failures in wage negotiations. It illustrates the practical importance of the information problems discussed theoretically in the chapter, particularly relevant to the union-firm wage negotiation applications mentioned.</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Barbara F. Walter (2009). </w:t>
      </w:r>
      <w:r>
        <w:rPr>
          <w:rFonts w:ascii="Calibri" w:cs="Calibri" w:eastAsia="Calibri" w:hAnsi="Calibri"/>
          <w:i/>
          <w:iCs/>
          <w:sz w:val="22"/>
          <w:szCs w:val="22"/>
        </w:rPr>
        <w:t xml:space="preserve">Bargaining Failures and Civil War</w:t>
      </w:r>
      <w:r>
        <w:rPr>
          <w:rFonts w:ascii="Calibri" w:cs="Calibri" w:eastAsia="Calibri" w:hAnsi="Calibri"/>
          <w:color w:val="336699"/>
          <w:sz w:val="20"/>
          <w:szCs w:val="20"/>
        </w:rPr>
        <w:t xml:space="preserve"> https://www.annualreviews.org/doi/10.1146/annurev.polisci.12.060107.155616</w:t>
      </w:r>
    </w:p>
    <w:p>
      <w:pPr>
        <w:spacing w:after="40"/>
        <w:ind w:left="360"/>
      </w:pPr>
      <w:r>
        <w:rPr>
          <w:rFonts w:ascii="Calibri" w:cs="Calibri" w:eastAsia="Calibri" w:hAnsi="Calibri"/>
          <w:sz w:val="22"/>
          <w:szCs w:val="22"/>
        </w:rPr>
        <w:t xml:space="preserve">This review article applies bargaining theory to understand civil war onset and recurrence. Walter identifies three key bargaining problems: asymmetric information about capabilities or resolve, inability to credibly commit to agreement terms, and indivisible stakes. The paper shows how fighting can help overcome information problems but commitment problems often persist, leading to war recurrence.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demonstrates the application of bargaining theory to high-stakes international negotiations, illustrating the chapter's point about bargaining failures despite mutual gains being available. It provides context for the international climate bargaining and hostage negotiation applications mentioned in the chapter description.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2026-02-20T07:27:15.550Z</dcterms:created>
  <dcterms:modified xsi:type="dcterms:W3CDTF">2026-02-20T07:27:15.550Z</dcterms:modified>
</cp:coreProperties>
</file>

<file path=docProps/custom.xml><?xml version="1.0" encoding="utf-8"?>
<Properties xmlns="http://schemas.openxmlformats.org/officeDocument/2006/custom-properties" xmlns:vt="http://schemas.openxmlformats.org/officeDocument/2006/docPropsVTypes"/>
</file>