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Games in the Wild: From Climate Summits to Algorithms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Experimental evidence from behavioural game theory shows that people frequently reject low offers in ultimatum games, even when rejection means receiving nothing. What does this finding most directly challenge about standard game-theoretic assumptions?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assumption that players can compute Nash equilibria efficiently, since such calculations are far too complex for most people under time pressure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assumption that the game is played simultaneously rather than sequentially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assumption that players have complete information about the game's payoff structure and the opponent's utility function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assumption that players are purely self-interested payoff maximisers, since rejections sacrifice material gain to punish perceived unfairness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country considering whether to invest in a new weapons system recognises that its rival will then feel compelled to match the investment, leaving both countries less secure and poorer. Despite this, the country proceeds. Which concept best explains this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arms buildup is a dominant strategy for each country individually, even though mutual restraint would be mutually preferred — the classic structure of a Prisoner's Dilemma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country is experiencing the winner's curse, having overestimated the strategic value of the weapons system in a competitive bidding process with emotional escalation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country is acting irrationally because a rational actor would recognise the futile outcome and unilaterally show restraint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This is a pure coordination failure where both countries prefer the same mutually secure outcome but cannot credibly communicate their commitment to restraint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Consider two ride-sharing platforms competing in the same city. Platform A has 80% of drivers and riders; Platform B has 20%. Platform B offers substantially lower prices. From a network effects perspective, under what condition is Platform B most likely to overcome Platform A's advantage?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If Platform B advertises its lower prices through a large-scale national marketing campaign to attract attention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If Platform B merges with Platform A, since network effects make independent competition permanently impossible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If Platform B raises its prices to match Platform A, signalling equal quality to potential users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If Platform B can achieve a critical mass of users in a concentrated geographic sub-market, creating localised network effects strong enough to attract further switching</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Why is climate change often modelled as a multi-player Prisoner's Dilemma rather than a simple coordination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Countries are uncertain about the payoffs from reducing emissions due to climate feedback loop complexity, so the dominant strategy is to wait for more information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Countries face multiple equilibria and simply need to agree on which low-emission outcome to coordinate toward, similar to choosing between competing low-carbon technology standards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Climate change involves only two major emitters, making the bilateral Prisoner's Dilemma the natural framework</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Each country has an individual incentive to free-ride on others' emissions reductions, even though mutual cooperation would leave everyone better off</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social media platform has 500 million users. A technically superior competitor launches with zero users. According to network effects theory, what is the primary barrier the new platform faces?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Government regulations prevent new platforms from entering markets that already have a dominant firm, particularly in sectors requiring privacy certifications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Users face high financial switching costs such as subscription fees and data portability charges, plus the sunk investment in existing connections and content history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incumbent platform can always match any technical innovation through rapid feature deployment, so the new entrant's initial superiority is only temporary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value each user derives from the platform increases with the number of other users, so users have little incentive to switch to a platform where their connections are absent</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When algorithmic pricing systems used by competing firms independently converge on supra-competitive prices without any explicit communication between the firms, what challenge does this pose for competition law?</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Traditional anti-collusion law requires evidence of an agreement or communication between firms, which is absent when algorithms tacitly coordinate through market signals alone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Algorithms will always charge the perfectly competitive price through real-time demand-supply equalization, so there is no harm to consumers that would warrant legal intervention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Competition regulators can simply ban firms from using pricing algorithms, resolving the issue through straightforward regulation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Algorithms cannot form strategies because they lack consciousness and intentionality, so traditional game-theoretic models of explicit collusion do not apply to them</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critic argues that game theory cannot meaningfully analyse the strategic implications of a truly unprecedented technology (such as the first development of artificial general intelligence) because no historical precedent exists. Which limitation of game theory does this critique most precisely target?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assumption that all players share common knowledge of rationality, which fails when artificial agents are involved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difficulty of specifying the game's structure — including players, strategies, and payoffs — when the situation is genuinely novel and the relevant dimensions are unknown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requirement that games have a finite number of Nash equilibria, which cannot be guaranteed in novel technological contexts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inability of game theory to model situations involving more than two players, which limits its applicability to complex geopolitical scenarios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Some researchers have found that students who take game theory courses behave more selfishly in laboratory experiments than students who have not. Assuming this finding is robust, which interpretation would a sophisticated critic of game theory most likely advance?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Game theory courses expose the truth that cooperation is always irrational, and students are simply applying this universal lesson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Game theory students perform better in experiments because they have learned the mathematically correct way to behave in all strategic situations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Game theory may function as a self-fulfilling framework, where teaching people to expect self-interested behaviour from others causes them to adopt self-interested strategies pre-emptively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finding merely reflects selection bias, since students who are already more selfish are attracted to game theory courses in the first place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the context of nuclear deterrence, what makes Mutually Assured Destruction (MAD) paradoxical as a strategic commitment?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Nuclear weapons are so expensive that building them is a dominated strategy for both sides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Both nations would prefer to disarm but cannot verify the other's compliance without intrusive inspections, creating a standard information asymmetry problem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MAD only works between exactly two nations with reliably functioning command-and-control systems, so it collapses as soon as a third nuclear power emerges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threat's credibility depends on a willingness to follow through on retaliation that would be catastrophically irrational to actually carry out</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How does the repeated game framework help explain why the Paris Climate Agreement relies on periodic review cycles and updated pledges rather than a single binding treaty?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Climate science changes too rapidly for any fixed agreement to remain relevant, so the reviews serve a purely informational rather than strategic purpose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Repeated interactions allow countries to use conditional strategies where future cooperation depends on current compliance, substituting for the absent supranational enforcement authority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Countries have such high discount rates that they prioritize short-term economic gains over future climate benefits, making long-term treaties impossible to negotiate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single binding treaty would be a static Nash equilibrium locking in current emission targets, but periodic reviews allow countries to reach the Pareto-optimal outcome instead</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2026-02-20T09:36:53.664Z</dcterms:created>
  <dcterms:modified xsi:type="dcterms:W3CDTF">2026-02-20T09:36:53.664Z</dcterms:modified>
</cp:coreProperties>
</file>

<file path=docProps/custom.xml><?xml version="1.0" encoding="utf-8"?>
<Properties xmlns="http://schemas.openxmlformats.org/officeDocument/2006/custom-properties" xmlns:vt="http://schemas.openxmlformats.org/officeDocument/2006/docPropsVTypes"/>
</file>