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Games in the Wild: From Climate Summits to Algorithms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coverage of the chapter's three main sections: (1) International relations applications - the Mildenberger et al. and Chander sources offer both empirical critique and formal game-theoretic analysis of climate negotiations, while MAD doctrine provides historical case study of commitment problems and credible threats; (2) Digital markets - Belleflamme &amp; Peitz and the platform competition sources establish theoretical foundation for network effects as scaled coordination games, while algorithmic game theory and collusion sources address the frontier where players are algorithms; (3) Critical examination - Camerer's behavioral game theory and Colman's rationality critique provide experimental evidence for systematic deviations from rational choice, while the 'curse of shared knowledge' study demonstrates specific coordination failures when common knowledge assumption fails. Together, these sources enable students to: apply game-theoretic models to complex problems (climate, platforms, algorithms), identify which model fits which situation (Prisoner's Dilemma vs. Coordination, static vs. repeated), articulate required assumptions (rationality, common knowledge, complete information), and critically evaluate those assumptions (behavioral evidence, cultural variation, novel situations). The sources span from seminal theoretical work (Camerer 2003, Belleflamme &amp; Peitz) to very recent empirical studies (Bolander et al. 2025, algorithmic collusion 2025), showing both established foundations and active research frontiers - exactly the intellectual maturity distinction the chapter aims to develop.</w:t>
      </w:r>
    </w:p>
    <w:p>
      <w:pPr>
        <w:pStyle w:val="Heading2"/>
        <w:spacing w:before="200" w:after="120"/>
      </w:pPr>
      <w:r>
        <w:rPr>
          <w:rFonts w:ascii="Calibri" w:cs="Calibri" w:eastAsia="Calibri" w:hAnsi="Calibri"/>
          <w:b/>
          <w:bCs/>
          <w:sz w:val="24"/>
          <w:szCs w:val="24"/>
        </w:rPr>
        <w:t xml:space="preserve">Sources (11)</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Matto Mildenberger, Peter Howe, Erick Lachapelle, Leah Stokes, Jennifer Marlon, Timothy Gravelle (2020). </w:t>
      </w:r>
      <w:r>
        <w:rPr>
          <w:rFonts w:ascii="Calibri" w:cs="Calibri" w:eastAsia="Calibri" w:hAnsi="Calibri"/>
          <w:i/>
          <w:iCs/>
          <w:sz w:val="22"/>
          <w:szCs w:val="22"/>
        </w:rPr>
        <w:t xml:space="preserve">Prisoners of the Wrong Dilemma: Why Distributive Conflict, Not Collective Action, Characterizes the Politics of Climate Change</w:t>
      </w:r>
      <w:r>
        <w:rPr>
          <w:rFonts w:ascii="Calibri" w:cs="Calibri" w:eastAsia="Calibri" w:hAnsi="Calibri"/>
          <w:color w:val="666666"/>
          <w:sz w:val="20"/>
          <w:szCs w:val="20"/>
        </w:rPr>
        <w:t xml:space="preserve"> DOI: 10.1162/glep_a_00578</w:t>
      </w:r>
      <w:r>
        <w:rPr>
          <w:rFonts w:ascii="Calibri" w:cs="Calibri" w:eastAsia="Calibri" w:hAnsi="Calibri"/>
          <w:color w:val="336699"/>
          <w:sz w:val="20"/>
          <w:szCs w:val="20"/>
        </w:rPr>
        <w:t xml:space="preserve"> https://direct.mit.edu/glep/article/20/4/4/95068/Prisoners-of-the-Wrong-Dilemma-Why-Distributive</w:t>
      </w:r>
    </w:p>
    <w:p>
      <w:pPr>
        <w:spacing w:after="40"/>
        <w:ind w:left="360"/>
      </w:pPr>
      <w:r>
        <w:rPr>
          <w:rFonts w:ascii="Calibri" w:cs="Calibri" w:eastAsia="Calibri" w:hAnsi="Calibri"/>
          <w:sz w:val="22"/>
          <w:szCs w:val="22"/>
        </w:rPr>
        <w:t xml:space="preserve">Empirically challenges the dominant collective action framing of climate change as a Prisoner's Dilemma, finding weak evidence that free-riding explains climate policy outcomes. Argues that governments implement climate policies regardless of what other countries do, suggesting distributive conflict within countries better explains climate policy patterns.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critiques the standard game-theoretic framing of climate negotiations, essential for teaching students to critically evaluate the assumptions behind applying models like Prisoner's Dilemma to real-world climate politics.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Parkash Chander (2024). </w:t>
      </w:r>
      <w:r>
        <w:rPr>
          <w:rFonts w:ascii="Calibri" w:cs="Calibri" w:eastAsia="Calibri" w:hAnsi="Calibri"/>
          <w:i/>
          <w:iCs/>
          <w:sz w:val="22"/>
          <w:szCs w:val="22"/>
        </w:rPr>
        <w:t xml:space="preserve">Game Theory and Climate Change</w:t>
      </w:r>
      <w:r>
        <w:rPr>
          <w:rFonts w:ascii="Calibri" w:cs="Calibri" w:eastAsia="Calibri" w:hAnsi="Calibri"/>
          <w:color w:val="336699"/>
          <w:sz w:val="20"/>
          <w:szCs w:val="20"/>
        </w:rPr>
        <w:t xml:space="preserve"> https://cup.columbia.edu/book/game-theory-and-climate-change/9780231184649</w:t>
      </w:r>
    </w:p>
    <w:p>
      <w:pPr>
        <w:spacing w:after="40"/>
        <w:ind w:left="360"/>
      </w:pPr>
      <w:r>
        <w:rPr>
          <w:rFonts w:ascii="Calibri" w:cs="Calibri" w:eastAsia="Calibri" w:hAnsi="Calibri"/>
          <w:sz w:val="22"/>
          <w:szCs w:val="22"/>
        </w:rPr>
        <w:t xml:space="preserve">Comprehensive book developing a game-theoretic framework for analyzing climate change negotiations. Provides economic and game-theoretic interpretations of both the Kyoto Protocol and Paris Agreement, arguing the Paris Agreement may succeed where Kyoto failed due to different strategic structures.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textbook-level treatment bridging cooperative and non-cooperative game theory for climate negotiations, with explicit analysis of Paris Agreement as repeated game - perfect for the chapter's discussion of discount factors and enforcement challenges.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Multiple authors (2021). </w:t>
      </w:r>
      <w:r>
        <w:rPr>
          <w:rFonts w:ascii="Calibri" w:cs="Calibri" w:eastAsia="Calibri" w:hAnsi="Calibri"/>
          <w:i/>
          <w:iCs/>
          <w:sz w:val="22"/>
          <w:szCs w:val="22"/>
        </w:rPr>
        <w:t xml:space="preserve">Coordination games vs prisoner's dilemma in sustainability games: A critique of recent contributions and a discussion of policy implications</w:t>
      </w:r>
      <w:r>
        <w:rPr>
          <w:rFonts w:ascii="Calibri" w:cs="Calibri" w:eastAsia="Calibri" w:hAnsi="Calibri"/>
          <w:color w:val="336699"/>
          <w:sz w:val="20"/>
          <w:szCs w:val="20"/>
        </w:rPr>
        <w:t xml:space="preserve"> https://www.sciencedirect.com/science/article/abs/pii/S092180092100327X</w:t>
      </w:r>
    </w:p>
    <w:p>
      <w:pPr>
        <w:spacing w:after="40"/>
        <w:ind w:left="360"/>
      </w:pPr>
      <w:r>
        <w:rPr>
          <w:rFonts w:ascii="Calibri" w:cs="Calibri" w:eastAsia="Calibri" w:hAnsi="Calibri"/>
          <w:sz w:val="22"/>
          <w:szCs w:val="22"/>
        </w:rPr>
        <w:t xml:space="preserve">Argues that despite recent claims, most climate games retain Prisoner's Dilemma characteristics in short-term interactions, only allowing coordination through long-term repeated game dynamics or continuing environmental deterioration. Demonstrates how progressive environmental degradation can actually hinder cooperation in repeated games.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nuanced critique distinguishing short-term vs. long-term game structures in climate negotiations, directly supporting the chapter's connection to repeated games (Chapter 6) and discount factors.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Various sources (Wikipedia, academic references) (Various (historical doctrine from Cold War)). </w:t>
      </w:r>
      <w:r>
        <w:rPr>
          <w:rFonts w:ascii="Calibri" w:cs="Calibri" w:eastAsia="Calibri" w:hAnsi="Calibri"/>
          <w:i/>
          <w:iCs/>
          <w:sz w:val="22"/>
          <w:szCs w:val="22"/>
        </w:rPr>
        <w:t xml:space="preserve">Mutually Assured Destruction</w:t>
      </w:r>
      <w:r>
        <w:rPr>
          <w:rFonts w:ascii="Calibri" w:cs="Calibri" w:eastAsia="Calibri" w:hAnsi="Calibri"/>
          <w:color w:val="336699"/>
          <w:sz w:val="20"/>
          <w:szCs w:val="20"/>
        </w:rPr>
        <w:t xml:space="preserve"> https://en.wikipedia.org/wiki/Mutual_assured_destruction</w:t>
      </w:r>
    </w:p>
    <w:p>
      <w:pPr>
        <w:spacing w:after="40"/>
        <w:ind w:left="360"/>
      </w:pPr>
      <w:r>
        <w:rPr>
          <w:rFonts w:ascii="Calibri" w:cs="Calibri" w:eastAsia="Calibri" w:hAnsi="Calibri"/>
          <w:sz w:val="22"/>
          <w:szCs w:val="22"/>
        </w:rPr>
        <w:t xml:space="preserve">MAD is a Nash equilibrium in which neither side has incentive to initiate conflict or disarm. Based on rational deterrence theory, it assumes threats of catastrophic retaliation prevent nuclear war. Doctrine was responsible for arms race dynamics where both nations struggled to maintain nuclear parity.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concept for the chapter's discussion of arms races, credible threats, and the paradox of rationality requiring irrational follow-through. Demonstrates commitment problems from Chapter 5 and connects to Cold War as historical case study.</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Authors from Information Systems Research (2021). </w:t>
      </w:r>
      <w:r>
        <w:rPr>
          <w:rFonts w:ascii="Calibri" w:cs="Calibri" w:eastAsia="Calibri" w:hAnsi="Calibri"/>
          <w:i/>
          <w:iCs/>
          <w:sz w:val="22"/>
          <w:szCs w:val="22"/>
        </w:rPr>
        <w:t xml:space="preserve">Platform Competition Under Network Effects: Piggybacking and Optimal Subsidization</w:t>
      </w:r>
      <w:r>
        <w:rPr>
          <w:rFonts w:ascii="Calibri" w:cs="Calibri" w:eastAsia="Calibri" w:hAnsi="Calibri"/>
          <w:color w:val="666666"/>
          <w:sz w:val="20"/>
          <w:szCs w:val="20"/>
        </w:rPr>
        <w:t xml:space="preserve"> DOI: 10.1287/isre.2021.1017</w:t>
      </w:r>
      <w:r>
        <w:rPr>
          <w:rFonts w:ascii="Calibri" w:cs="Calibri" w:eastAsia="Calibri" w:hAnsi="Calibri"/>
          <w:color w:val="336699"/>
          <w:sz w:val="20"/>
          <w:szCs w:val="20"/>
        </w:rPr>
        <w:t xml:space="preserve"> https://pubsonline.informs.org/doi/10.1287/isre.2021.1017</w:t>
      </w:r>
    </w:p>
    <w:p>
      <w:pPr>
        <w:spacing w:after="40"/>
        <w:ind w:left="360"/>
      </w:pPr>
      <w:r>
        <w:rPr>
          <w:rFonts w:ascii="Calibri" w:cs="Calibri" w:eastAsia="Calibri" w:hAnsi="Calibri"/>
          <w:sz w:val="22"/>
          <w:szCs w:val="22"/>
        </w:rPr>
        <w:t xml:space="preserve">Game-theoretic analysis of two-sided platform markets with network effects. Shows how platforms use pricing and non-pricing controls to ignite cross-side network effects. Identifies conditions where competition leads to prisoner's dilemma depending on piggybacking costs and strength of network effects.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platform competition with network effects using formal game theory, perfect for chapter's discussion of tech giants' competition and how coordination games scale up in digital markets.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Paul Belleflamme, Martin Peitz (2016). </w:t>
      </w:r>
      <w:r>
        <w:rPr>
          <w:rFonts w:ascii="Calibri" w:cs="Calibri" w:eastAsia="Calibri" w:hAnsi="Calibri"/>
          <w:i/>
          <w:iCs/>
          <w:sz w:val="22"/>
          <w:szCs w:val="22"/>
        </w:rPr>
        <w:t xml:space="preserve">Platforms and network effects</w:t>
      </w:r>
      <w:r>
        <w:rPr>
          <w:rFonts w:ascii="Calibri" w:cs="Calibri" w:eastAsia="Calibri" w:hAnsi="Calibri"/>
          <w:color w:val="336699"/>
          <w:sz w:val="20"/>
          <w:szCs w:val="20"/>
        </w:rPr>
        <w:t xml:space="preserve"> https://ideas.repec.org/p/mnh/wpaper/41306.html</w:t>
      </w:r>
    </w:p>
    <w:p>
      <w:pPr>
        <w:spacing w:after="40"/>
        <w:ind w:left="360"/>
      </w:pPr>
      <w:r>
        <w:rPr>
          <w:rFonts w:ascii="Calibri" w:cs="Calibri" w:eastAsia="Calibri" w:hAnsi="Calibri"/>
          <w:sz w:val="22"/>
          <w:szCs w:val="22"/>
        </w:rPr>
        <w:t xml:space="preserve">Comprehensive review of platform economics and network effects for game theory handbook. Analyzes markets where user benefits depend on participation of other users, intermediaries manage network effects. Covers coordination problems, market tipping, multi-homing, and equilibrium selection with network externalities.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handbook chapter providing theoretical foundation for understanding platform competition as coordination games with network effects - essential for analyzing tech giants' strategic interactions.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Various (field overview) (2025 (Wikipedia last updated)). </w:t>
      </w:r>
      <w:r>
        <w:rPr>
          <w:rFonts w:ascii="Calibri" w:cs="Calibri" w:eastAsia="Calibri" w:hAnsi="Calibri"/>
          <w:i/>
          <w:iCs/>
          <w:sz w:val="22"/>
          <w:szCs w:val="22"/>
        </w:rPr>
        <w:t xml:space="preserve">Algorithmic game theory</w:t>
      </w:r>
      <w:r>
        <w:rPr>
          <w:rFonts w:ascii="Calibri" w:cs="Calibri" w:eastAsia="Calibri" w:hAnsi="Calibri"/>
          <w:color w:val="336699"/>
          <w:sz w:val="20"/>
          <w:szCs w:val="20"/>
        </w:rPr>
        <w:t xml:space="preserve"> https://en.wikipedia.org/wiki/Algorithmic_game_theory</w:t>
      </w:r>
    </w:p>
    <w:p>
      <w:pPr>
        <w:spacing w:after="40"/>
        <w:ind w:left="360"/>
      </w:pPr>
      <w:r>
        <w:rPr>
          <w:rFonts w:ascii="Calibri" w:cs="Calibri" w:eastAsia="Calibri" w:hAnsi="Calibri"/>
          <w:sz w:val="22"/>
          <w:szCs w:val="22"/>
        </w:rPr>
        <w:t xml:space="preserve">AGT analyzes and designs systems with strategic behavior despite computational constraints. Studies Nash equilibria, price of anarchy, mechanism design under computational efficiency requirements. Emerged from need to handle strategic misreporting in online auctions, internet routing, digital advertising where agents are algorithms not humans.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overview of the emerging field where players are algorithms rather than humans - exactly what the chapter describes as 'frontier reshaping antitrust law and digital regulation worldwide.'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Multiple authors (2025). </w:t>
      </w:r>
      <w:r>
        <w:rPr>
          <w:rFonts w:ascii="Calibri" w:cs="Calibri" w:eastAsia="Calibri" w:hAnsi="Calibri"/>
          <w:i/>
          <w:iCs/>
          <w:sz w:val="22"/>
          <w:szCs w:val="22"/>
        </w:rPr>
        <w:t xml:space="preserve">Algorithmic Pricing and Algorithmic Collusion</w:t>
      </w:r>
      <w:r>
        <w:rPr>
          <w:rFonts w:ascii="Calibri" w:cs="Calibri" w:eastAsia="Calibri" w:hAnsi="Calibri"/>
          <w:color w:val="666666"/>
          <w:sz w:val="20"/>
          <w:szCs w:val="20"/>
        </w:rPr>
        <w:t xml:space="preserve"> DOI: 10.1007/s12599-025-00965-z</w:t>
      </w:r>
      <w:r>
        <w:rPr>
          <w:rFonts w:ascii="Calibri" w:cs="Calibri" w:eastAsia="Calibri" w:hAnsi="Calibri"/>
          <w:color w:val="336699"/>
          <w:sz w:val="20"/>
          <w:szCs w:val="20"/>
        </w:rPr>
        <w:t xml:space="preserve"> https://link.springer.com/article/10.1007/s12599-025-00965-z</w:t>
      </w:r>
    </w:p>
    <w:p>
      <w:pPr>
        <w:spacing w:after="40"/>
        <w:ind w:left="360"/>
      </w:pPr>
      <w:r>
        <w:rPr>
          <w:rFonts w:ascii="Calibri" w:cs="Calibri" w:eastAsia="Calibri" w:hAnsi="Calibri"/>
          <w:sz w:val="22"/>
          <w:szCs w:val="22"/>
        </w:rPr>
        <w:t xml:space="preserve">Examines algorithmic collusion as learning in games - when do algorithms converge to equilibrium, price cycling, or chaos? Notes that while experimental research shows specific reinforcement learning algorithms can maintain supra-competitive prices, theoretical understanding remains limited. Discusses challenge of learning algorithms producing collusive outcomes without being programmed to do so.</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Addresses exactly what chapter describes: automated repeated games where players are algorithms. Discusses antitrust implications and the fact there is 'no comprehensive theory' yet - perfect for showing students the frontier of game theory meeting computer science.</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Colin F. Camerer (2003). </w:t>
      </w:r>
      <w:r>
        <w:rPr>
          <w:rFonts w:ascii="Calibri" w:cs="Calibri" w:eastAsia="Calibri" w:hAnsi="Calibri"/>
          <w:i/>
          <w:iCs/>
          <w:sz w:val="22"/>
          <w:szCs w:val="22"/>
        </w:rPr>
        <w:t xml:space="preserve">Behavioral Game Theory: Experiments in Strategic Interaction</w:t>
      </w:r>
      <w:r>
        <w:rPr>
          <w:rFonts w:ascii="Calibri" w:cs="Calibri" w:eastAsia="Calibri" w:hAnsi="Calibri"/>
          <w:color w:val="336699"/>
          <w:sz w:val="20"/>
          <w:szCs w:val="20"/>
        </w:rPr>
        <w:t xml:space="preserve"> Multiple sources cite this as seminal work</w:t>
      </w:r>
    </w:p>
    <w:p>
      <w:pPr>
        <w:spacing w:after="40"/>
        <w:ind w:left="360"/>
      </w:pPr>
      <w:r>
        <w:rPr>
          <w:rFonts w:ascii="Calibri" w:cs="Calibri" w:eastAsia="Calibri" w:hAnsi="Calibri"/>
          <w:sz w:val="22"/>
          <w:szCs w:val="22"/>
        </w:rPr>
        <w:t xml:space="preserve">Foundational book reviewing hundreds of experimental studies showing systematic deviations from rational choice predictions. Develops models (cognitive hierarchy, quantal response equilibrium, learning theories) that account for bounded rationality, social preferences, and limited strategic thinking. Shows players often fail to have accurate beliefs or optimize, dramatically changing what rational players should do.</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source for the chapter's critical examination of rationality assumption. Provides experimental evidence for behavioral game theory section (Chapter 9 connection) and supports discussion of where game theory framework fails.</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Andrew M. Colman (2003). </w:t>
      </w:r>
      <w:r>
        <w:rPr>
          <w:rFonts w:ascii="Calibri" w:cs="Calibri" w:eastAsia="Calibri" w:hAnsi="Calibri"/>
          <w:i/>
          <w:iCs/>
          <w:sz w:val="22"/>
          <w:szCs w:val="22"/>
        </w:rPr>
        <w:t xml:space="preserve">Cooperation, psychological game theory, and limitations of rationality in social interaction</w:t>
      </w:r>
      <w:r>
        <w:rPr>
          <w:rFonts w:ascii="Calibri" w:cs="Calibri" w:eastAsia="Calibri" w:hAnsi="Calibri"/>
          <w:color w:val="666666"/>
          <w:sz w:val="20"/>
          <w:szCs w:val="20"/>
        </w:rPr>
        <w:t xml:space="preserve"> DOI: 10.1017/S0140525X03000050</w:t>
      </w:r>
      <w:r>
        <w:rPr>
          <w:rFonts w:ascii="Calibri" w:cs="Calibri" w:eastAsia="Calibri" w:hAnsi="Calibri"/>
          <w:color w:val="336699"/>
          <w:sz w:val="20"/>
          <w:szCs w:val="20"/>
        </w:rPr>
        <w:t xml:space="preserve"> https://www.cambridge.org/core/journals/behavioral-and-brain-sciences/article/abs/cooperation-psychological-game-theory-and-limitations-of-rationality-in-social-interaction/AE4AFA6432417827D1FA705AD1892448</w:t>
      </w:r>
    </w:p>
    <w:p>
      <w:pPr>
        <w:spacing w:after="40"/>
        <w:ind w:left="360"/>
      </w:pPr>
      <w:r>
        <w:rPr>
          <w:rFonts w:ascii="Calibri" w:cs="Calibri" w:eastAsia="Calibri" w:hAnsi="Calibri"/>
          <w:sz w:val="22"/>
          <w:szCs w:val="22"/>
        </w:rPr>
        <w:t xml:space="preserve">Behavioral and Brain Sciences article identifying fundamental anomalies in game theory under rationality and common knowledge assumptions: focal point selection is inexplicable yet easily achieved; payoff-dominance lacks rational justification; rationality in social dilemmas is self-defeating; experimental players behave more cooperatively and receive higher payoffs than strict rationality permits.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comprehensive critique of rationality and common knowledge assumptions essential for chapter's critical lens section. Directly supports discussion of coordination failures, cultural variation, and psychological game theory as alternative.</w:t>
      </w:r>
    </w:p>
    <w:p>
      <w:pPr>
        <w:spacing w:before="200" w:after="60"/>
      </w:pPr>
      <w:r>
        <w:rPr>
          <w:rFonts w:ascii="Calibri" w:cs="Calibri" w:eastAsia="Calibri" w:hAnsi="Calibri"/>
          <w:b/>
          <w:bCs/>
          <w:sz w:val="22"/>
          <w:szCs w:val="22"/>
        </w:rPr>
        <w:t xml:space="preserve">11. </w:t>
      </w:r>
      <w:r>
        <w:rPr>
          <w:rFonts w:ascii="Calibri" w:cs="Calibri" w:eastAsia="Calibri" w:hAnsi="Calibri"/>
          <w:b/>
          <w:bCs/>
          <w:sz w:val="22"/>
          <w:szCs w:val="22"/>
        </w:rPr>
        <w:t xml:space="preserve">Thomas Bolander, Robin Engelhardt, and co-authors (2025). </w:t>
      </w:r>
      <w:r>
        <w:rPr>
          <w:rFonts w:ascii="Calibri" w:cs="Calibri" w:eastAsia="Calibri" w:hAnsi="Calibri"/>
          <w:i/>
          <w:iCs/>
          <w:sz w:val="22"/>
          <w:szCs w:val="22"/>
        </w:rPr>
        <w:t xml:space="preserve">The Curse of Shared Knowledge: Recursive Belief Reasoning in a Coordination Game with Imperfect Information</w:t>
      </w:r>
      <w:r>
        <w:rPr>
          <w:rFonts w:ascii="Calibri" w:cs="Calibri" w:eastAsia="Calibri" w:hAnsi="Calibri"/>
          <w:color w:val="336699"/>
          <w:sz w:val="20"/>
          <w:szCs w:val="20"/>
        </w:rPr>
        <w:t xml:space="preserve"> https://arxiv.org/abs/2008.08849</w:t>
      </w:r>
    </w:p>
    <w:p>
      <w:pPr>
        <w:spacing w:after="40"/>
        <w:ind w:left="360"/>
      </w:pPr>
      <w:r>
        <w:rPr>
          <w:rFonts w:ascii="Calibri" w:cs="Calibri" w:eastAsia="Calibri" w:hAnsi="Calibri"/>
          <w:sz w:val="22"/>
          <w:szCs w:val="22"/>
        </w:rPr>
        <w:t xml:space="preserve">Experimental study with 802 participants showing that even at shallow depths of shared knowledge, players behave as if they have common knowledge, despite significant penalties for miscoordination. Demonstrates 'curse of shared knowledge' - inability to distinguish between higher-order shared knowledge and common knowledge, causing coordination failures.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Recent experimental evidence directly supporting chapter's discussion of 'assumption of common knowledge' failures and coordination problems. Shows where game theory models break down when common knowledge assumption is violated.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2026-02-20T07:27:39.368Z</dcterms:created>
  <dcterms:modified xsi:type="dcterms:W3CDTF">2026-02-20T07:27:39.368Z</dcterms:modified>
</cp:coreProperties>
</file>

<file path=docProps/custom.xml><?xml version="1.0" encoding="utf-8"?>
<Properties xmlns="http://schemas.openxmlformats.org/officeDocument/2006/custom-properties" xmlns:vt="http://schemas.openxmlformats.org/officeDocument/2006/docPropsVTypes"/>
</file>