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Not Every Emergency Is a Crisis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essential theoretical and empirical foundations for teaching students to distinguish crises from other adverse events. The Boin et al. framework (threat, urgency, uncertainty) offers the definitional architecture, while Weick's sensemaking work explains the cognitive dimension of how crises unfold and overwhelm organizational capacity. Reason's Swiss Cheese model provides the systemic lens for understanding how multiple aligned failures create catastrophic outcomes rather than single-point causes. The Grenfell Tower case serves as the contemporary empirical anchor demonstrating these concepts in action - showing the dangerous gap between initial incident classification and actual crisis reality, the collapse of sensemaking under pressure, and the systemic failures that aligned to create disaster. The definitional analysis literature addresses the practical confusion that the chapter aims to resolve. Together, these works enable students to understand that crisis classification is not semantic but consequential - it determines authority structures, communication protocols, resource allocation, and ultimately life-or-death decision-making speed. The pedagogical power lies in moving students from reactive thinking ('this is bad, do something') to diagnostic thinking ('what kind of situation is this, what does that classification demand of leadership?'). The frameworks provide transferable analytical tools applicable across domains while the Grenfell case demonstrates real-world stakes when classification fails.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Arjen Boin, Paul 't Hart, Eric Stern, Bengt Sundelius (2005 (2nd edition 2016)). </w:t>
      </w:r>
      <w:r>
        <w:rPr>
          <w:rFonts w:ascii="Calibri" w:cs="Calibri" w:eastAsia="Calibri" w:hAnsi="Calibri"/>
          <w:i/>
          <w:iCs/>
          <w:sz w:val="22"/>
          <w:szCs w:val="22"/>
        </w:rPr>
        <w:t xml:space="preserve">The Politics of Crisis Management: Public Leadership under Pressure</w:t>
      </w:r>
      <w:r>
        <w:rPr>
          <w:rFonts w:ascii="Calibri" w:cs="Calibri" w:eastAsia="Calibri" w:hAnsi="Calibri"/>
          <w:color w:val="666666"/>
          <w:sz w:val="20"/>
          <w:szCs w:val="20"/>
        </w:rPr>
        <w:t xml:space="preserve"> DOI: 10.1017/CBO9780511491573</w:t>
      </w:r>
      <w:r>
        <w:rPr>
          <w:rFonts w:ascii="Calibri" w:cs="Calibri" w:eastAsia="Calibri" w:hAnsi="Calibri"/>
          <w:color w:val="336699"/>
          <w:sz w:val="20"/>
          <w:szCs w:val="20"/>
        </w:rPr>
        <w:t xml:space="preserve"> https://www.cambridge.org/core/books/politics-of-crisis-management/CA51C2B81E41D80B40CA451299975BF6</w:t>
      </w:r>
    </w:p>
    <w:p>
      <w:pPr>
        <w:spacing w:after="40"/>
        <w:ind w:left="360"/>
      </w:pPr>
      <w:r>
        <w:rPr>
          <w:rFonts w:ascii="Calibri" w:cs="Calibri" w:eastAsia="Calibri" w:hAnsi="Calibri"/>
          <w:sz w:val="22"/>
          <w:szCs w:val="22"/>
        </w:rPr>
        <w:t xml:space="preserve">Seminal work defining crisis through three key characteristics: threat (to core values or life-sustaining systems), urgency (time compression requiring immediate action), and uncertainty (about both the nature of the threat and appropriate responses). The book examines how these three components distinguish crises from routine emergencies and explains that situations 'become' crises through a political process - they travel a continuum from 'no problem' to 'deep crisis.' Provides comprehensive framework for understanding how leaders face strategic challenges during crises and the political risks inherent in crisis management.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theoretical foundation for the chapter's crisis classification framework. Provides the definitive articulation of the threat-urgency-uncertainty triad that forms the basis for distinguishing crises from other adverse events. Essential for explaining why classification drives downstream leadership decisions.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Karl E. Weick (1993). </w:t>
      </w:r>
      <w:r>
        <w:rPr>
          <w:rFonts w:ascii="Calibri" w:cs="Calibri" w:eastAsia="Calibri" w:hAnsi="Calibri"/>
          <w:i/>
          <w:iCs/>
          <w:sz w:val="22"/>
          <w:szCs w:val="22"/>
        </w:rPr>
        <w:t xml:space="preserve">The Collapse of Sensemaking in Organizations: The Mann Gulch Disaster</w:t>
      </w:r>
      <w:r>
        <w:rPr>
          <w:rFonts w:ascii="Calibri" w:cs="Calibri" w:eastAsia="Calibri" w:hAnsi="Calibri"/>
          <w:color w:val="666666"/>
          <w:sz w:val="20"/>
          <w:szCs w:val="20"/>
        </w:rPr>
        <w:t xml:space="preserve"> DOI: 10.2307/2393339</w:t>
      </w:r>
      <w:r>
        <w:rPr>
          <w:rFonts w:ascii="Calibri" w:cs="Calibri" w:eastAsia="Calibri" w:hAnsi="Calibri"/>
          <w:color w:val="336699"/>
          <w:sz w:val="20"/>
          <w:szCs w:val="20"/>
        </w:rPr>
        <w:t xml:space="preserve"> https://doi.org/10.2307/2393339</w:t>
      </w:r>
    </w:p>
    <w:p>
      <w:pPr>
        <w:spacing w:after="40"/>
        <w:ind w:left="360"/>
      </w:pPr>
      <w:r>
        <w:rPr>
          <w:rFonts w:ascii="Calibri" w:cs="Calibri" w:eastAsia="Calibri" w:hAnsi="Calibri"/>
          <w:sz w:val="22"/>
          <w:szCs w:val="22"/>
        </w:rPr>
        <w:t xml:space="preserve">Analyzes the 1949 Mann Gulch fire disaster where 13 smokejumpers died, examining it as the interactive disintegration of role structure and sensemaking in a minimal organization. Weick demonstrates how the disaster resulted from the interrelated collapse of sensemaking and structure - firefighters lost their ability to make sense of what was happening faster than the fire advanced. The article identifies four sources of organizational resilience: improvisation, virtual role systems, the attitude of wisdom, and norms of respectful interaction. Shows how collective ability to understand and respond to crisis can collapse catastrophically.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seminal analysis of sensemaking collapse that the chapter uses to explain how organizations lose their capacity to understand what is happening during crisis. The Mann Gulch case study is specifically referenced in the chapter description as the foundational example of sensemaking breakdown in crisis situations.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James Reason (1997). </w:t>
      </w:r>
      <w:r>
        <w:rPr>
          <w:rFonts w:ascii="Calibri" w:cs="Calibri" w:eastAsia="Calibri" w:hAnsi="Calibri"/>
          <w:i/>
          <w:iCs/>
          <w:sz w:val="22"/>
          <w:szCs w:val="22"/>
        </w:rPr>
        <w:t xml:space="preserve">Managing the Risks of Organizational Accidents</w:t>
      </w:r>
      <w:r>
        <w:rPr>
          <w:rFonts w:ascii="Calibri" w:cs="Calibri" w:eastAsia="Calibri" w:hAnsi="Calibri"/>
          <w:color w:val="336699"/>
          <w:sz w:val="20"/>
          <w:szCs w:val="20"/>
        </w:rPr>
        <w:t xml:space="preserve"> https://www.routledge.com/Managing-the-Risks-of-Organizational-Accidents/Reason/p/book/9781840141054</w:t>
      </w:r>
    </w:p>
    <w:p>
      <w:pPr>
        <w:spacing w:after="40"/>
        <w:ind w:left="360"/>
      </w:pPr>
      <w:r>
        <w:rPr>
          <w:rFonts w:ascii="Calibri" w:cs="Calibri" w:eastAsia="Calibri" w:hAnsi="Calibri"/>
          <w:sz w:val="22"/>
          <w:szCs w:val="22"/>
        </w:rPr>
        <w:t xml:space="preserve">Comprehensive work presenting the Swiss Cheese Model of accident causation, which depicts organizational defenses as layers of cheese with holes representing weaknesses. Accidents occur when holes align across multiple defensive layers, allowing a 'trajectory of accident opportunity.' Reason distinguishes between active failures (unsafe acts directly linked to accidents) and latent conditions (organizational factors that create vulnerabilities). The model demonstrates that major accidents emerge not from single failures but from the alignment of multiple systemic weaknesses across organizational, supervisory, preconditions, and unsafe acts levels.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source for the Swiss Cheese model referenced in the chapter as a framework for understanding how crises emerge from aligned systemic failures rather than single causes. Provides the theoretical foundation for explaining systemic preconditions of catastrophic failure.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Karl E. Weick (1988). </w:t>
      </w:r>
      <w:r>
        <w:rPr>
          <w:rFonts w:ascii="Calibri" w:cs="Calibri" w:eastAsia="Calibri" w:hAnsi="Calibri"/>
          <w:i/>
          <w:iCs/>
          <w:sz w:val="22"/>
          <w:szCs w:val="22"/>
        </w:rPr>
        <w:t xml:space="preserve">Enacted Sensemaking in Crisis Situations</w:t>
      </w:r>
      <w:r>
        <w:rPr>
          <w:rFonts w:ascii="Calibri" w:cs="Calibri" w:eastAsia="Calibri" w:hAnsi="Calibri"/>
          <w:color w:val="666666"/>
          <w:sz w:val="20"/>
          <w:szCs w:val="20"/>
        </w:rPr>
        <w:t xml:space="preserve"> DOI: 10.1111/j.1467-6486.1988.tb00039.x</w:t>
      </w:r>
      <w:r>
        <w:rPr>
          <w:rFonts w:ascii="Calibri" w:cs="Calibri" w:eastAsia="Calibri" w:hAnsi="Calibri"/>
          <w:color w:val="336699"/>
          <w:sz w:val="20"/>
          <w:szCs w:val="20"/>
        </w:rPr>
        <w:t xml:space="preserve"> https://doi.org/10.1111/j.1467-6486.1988.tb00039.x</w:t>
      </w:r>
    </w:p>
    <w:p>
      <w:pPr>
        <w:spacing w:after="40"/>
        <w:ind w:left="360"/>
      </w:pPr>
      <w:r>
        <w:rPr>
          <w:rFonts w:ascii="Calibri" w:cs="Calibri" w:eastAsia="Calibri" w:hAnsi="Calibri"/>
          <w:sz w:val="22"/>
          <w:szCs w:val="22"/>
        </w:rPr>
        <w:t xml:space="preserve">Earlier seminal article introducing enacted sensemaking in crisis contexts. Argues that commitment, capacity, and expectations affect sensemaking during crisis and the severity of the crisis itself. Proposes that the core concepts of enactment may comprise an ideology that reduces the likelihood of crisis. Examines how action precedes cognition in crisis situations - people act, then make retrospective sense of their actions, but their actions shape what they discover.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work establishing the sensemaking framework that underpins Weick's later Mann Gulch analysis. Important for understanding how organizations construct meaning during crisis and how enacted responses shape crisis development. Provides theoretical grounding for recognizing sensemaking collapse.</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Sally Maitlis, Marlys Christianson (2010). </w:t>
      </w:r>
      <w:r>
        <w:rPr>
          <w:rFonts w:ascii="Calibri" w:cs="Calibri" w:eastAsia="Calibri" w:hAnsi="Calibri"/>
          <w:i/>
          <w:iCs/>
          <w:sz w:val="22"/>
          <w:szCs w:val="22"/>
        </w:rPr>
        <w:t xml:space="preserve">Sensemaking in Crisis and Change: Inspiration and Insights From Weick (1988)</w:t>
      </w:r>
      <w:r>
        <w:rPr>
          <w:rFonts w:ascii="Calibri" w:cs="Calibri" w:eastAsia="Calibri" w:hAnsi="Calibri"/>
          <w:color w:val="666666"/>
          <w:sz w:val="20"/>
          <w:szCs w:val="20"/>
        </w:rPr>
        <w:t xml:space="preserve"> DOI: 10.1111/j.1467-6486.2010.00908.x</w:t>
      </w:r>
      <w:r>
        <w:rPr>
          <w:rFonts w:ascii="Calibri" w:cs="Calibri" w:eastAsia="Calibri" w:hAnsi="Calibri"/>
          <w:color w:val="336699"/>
          <w:sz w:val="20"/>
          <w:szCs w:val="20"/>
        </w:rPr>
        <w:t xml:space="preserve"> https://doi.org/10.1111/j.1467-6486.2010.00908.x</w:t>
      </w:r>
    </w:p>
    <w:p>
      <w:pPr>
        <w:spacing w:after="40"/>
        <w:ind w:left="360"/>
      </w:pPr>
      <w:r>
        <w:rPr>
          <w:rFonts w:ascii="Calibri" w:cs="Calibri" w:eastAsia="Calibri" w:hAnsi="Calibri"/>
          <w:sz w:val="22"/>
          <w:szCs w:val="22"/>
        </w:rPr>
        <w:t xml:space="preserve">Comprehensive review examining how Weick's sensemaking framework has influenced crisis and change research. Reviews sensemaking studies spanning mining disasters, climbing disasters, the Bhopal accident, the Tenerife air crash, Mann Gulch fire, and Bristol Royal Infirmary medical disasters. Examines challenges facing groups trying to generate shared understandings and coordinated action in fast-moving, frightening conditions. Identifies how emotion, shared meanings, and collective processes affect adaptive sensemaking in turbulent environments.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synthesis of sensemaking research in crisis contexts, connecting Weick's foundational work to broader applications. Useful for demonstrating how sensemaking framework applies across diverse crisis types and for understanding when and how sensemaking enables or inhibits effective crisis response.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Sir Martin Moore-Bick (Chair, Grenfell Tower Inquiry) (2019). </w:t>
      </w:r>
      <w:r>
        <w:rPr>
          <w:rFonts w:ascii="Calibri" w:cs="Calibri" w:eastAsia="Calibri" w:hAnsi="Calibri"/>
          <w:i/>
          <w:iCs/>
          <w:sz w:val="22"/>
          <w:szCs w:val="22"/>
        </w:rPr>
        <w:t xml:space="preserve">Grenfell Tower Fire Phase 1 Report</w:t>
      </w:r>
      <w:r>
        <w:rPr>
          <w:rFonts w:ascii="Calibri" w:cs="Calibri" w:eastAsia="Calibri" w:hAnsi="Calibri"/>
          <w:color w:val="336699"/>
          <w:sz w:val="20"/>
          <w:szCs w:val="20"/>
        </w:rPr>
        <w:t xml:space="preserve"> https://www.grenfelltowerinquiry.org.uk/phase-1-report</w:t>
      </w:r>
    </w:p>
    <w:p>
      <w:pPr>
        <w:spacing w:after="40"/>
        <w:ind w:left="360"/>
      </w:pPr>
      <w:r>
        <w:rPr>
          <w:rFonts w:ascii="Calibri" w:cs="Calibri" w:eastAsia="Calibri" w:hAnsi="Calibri"/>
          <w:sz w:val="22"/>
          <w:szCs w:val="22"/>
        </w:rPr>
        <w:t xml:space="preserve">Official public inquiry report examining the June 14, 2017 Grenfell Tower fire that killed 72 people. Phase 1 addresses the events of the night: how the fire started, how it spread through the building's combustible cladding, and the emergency response. Documents critical failures in recognizing when the incident became a crisis, including inadequate training of incident commanders to recognize need for evacuation, poor communication between control room and incident ground, and the gap between what responders initially believed was happening (routine high-rise fire) and what was actually unfolding (catastrophic total building failure).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primary case study explicitly referenced in the chapter description for examining the gap between what responders believed was happening and what was actually occurring - the moment an incident became a crisis and the system was slow to recognize it. Essential empirical evidence for the chapter's argument about crisis classification.</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P. G. Samarasinghe, W. G. S. Hettiarachchi (2016). </w:t>
      </w:r>
      <w:r>
        <w:rPr>
          <w:rFonts w:ascii="Calibri" w:cs="Calibri" w:eastAsia="Calibri" w:hAnsi="Calibri"/>
          <w:i/>
          <w:iCs/>
          <w:sz w:val="22"/>
          <w:szCs w:val="22"/>
        </w:rPr>
        <w:t xml:space="preserve">Understanding the Terminologies: Disaster, Crisis and Emergency</w:t>
      </w:r>
      <w:r>
        <w:rPr>
          <w:rFonts w:ascii="Calibri" w:cs="Calibri" w:eastAsia="Calibri" w:hAnsi="Calibri"/>
          <w:color w:val="336699"/>
          <w:sz w:val="20"/>
          <w:szCs w:val="20"/>
        </w:rPr>
        <w:t xml:space="preserve"> https://www.researchgate.net/publication/320288179_Understanding_the_Terminologies_Disaster_Crisis_and_Emergency</w:t>
      </w:r>
    </w:p>
    <w:p>
      <w:pPr>
        <w:spacing w:after="40"/>
        <w:ind w:left="360"/>
      </w:pPr>
      <w:r>
        <w:rPr>
          <w:rFonts w:ascii="Calibri" w:cs="Calibri" w:eastAsia="Calibri" w:hAnsi="Calibri"/>
          <w:sz w:val="22"/>
          <w:szCs w:val="22"/>
        </w:rPr>
        <w:t xml:space="preserve">Systematic literature review analyzing definitions and distinctions between disaster, crisis, and emergency. Qualitative conceptual content analysis reveals that sudden nature and damage are common features, though emergency is not always sudden. Identifies many common features between disaster and crisis, allowing interchangeable use to an extent. Emergency shares fewer features with the other terms and has contradictory features. Concludes that both crisis and emergency can lead to disaster if neglected or mismanaged. Highlights the blurred definitional boundaries that lead to confusion in practice.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the chapter's core theme of distinguishing between incidents, emergencies, and crises. Provides scholarly analysis of why these terms are often confused and the consequences of that confusion, supporting the chapter's argument that classification matters for response effectiveness.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André-Pierre Larouzée, Frank Le Coze (2020). </w:t>
      </w:r>
      <w:r>
        <w:rPr>
          <w:rFonts w:ascii="Calibri" w:cs="Calibri" w:eastAsia="Calibri" w:hAnsi="Calibri"/>
          <w:i/>
          <w:iCs/>
          <w:sz w:val="22"/>
          <w:szCs w:val="22"/>
        </w:rPr>
        <w:t xml:space="preserve">The Swiss Cheese Model of Safety Incidents: Are There Holes in the Metaphor?</w:t>
      </w:r>
      <w:r>
        <w:rPr>
          <w:rFonts w:ascii="Calibri" w:cs="Calibri" w:eastAsia="Calibri" w:hAnsi="Calibri"/>
          <w:color w:val="336699"/>
          <w:sz w:val="20"/>
          <w:szCs w:val="20"/>
        </w:rPr>
        <w:t xml:space="preserve"> https://doi.org/10.1016/j.ssci.2020.104568</w:t>
      </w:r>
    </w:p>
    <w:p>
      <w:pPr>
        <w:spacing w:after="40"/>
        <w:ind w:left="360"/>
      </w:pPr>
      <w:r>
        <w:rPr>
          <w:rFonts w:ascii="Calibri" w:cs="Calibri" w:eastAsia="Calibri" w:hAnsi="Calibri"/>
          <w:sz w:val="22"/>
          <w:szCs w:val="22"/>
        </w:rPr>
        <w:t xml:space="preserve">Critical examination of Reason's Swiss Cheese Model, providing historical analysis of its development and evolution from 1990 to 2000. Shows how the model changed across iterations and analyzes both its widespread acceptance and its limitations. Documents that the model has become the dominant paradigm for analyzing errors and safety incidents, while also examining criticisms including its simplistic vision of accidents and static representation of dynamic systems. Confirms the model's systemic foundations and sustained relevance for understanding organizational failures.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critical scholarly assessment of the Swiss Cheese model's strengths and limitations, important for students to understand not just the model but its proper application and boundaries. Supports nuanced teaching of the framework referenced in the chapter.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2026-02-20T05:41:56.344Z</dcterms:created>
  <dcterms:modified xsi:type="dcterms:W3CDTF">2026-02-20T05:41:56.344Z</dcterms:modified>
</cp:coreProperties>
</file>

<file path=docProps/custom.xml><?xml version="1.0" encoding="utf-8"?>
<Properties xmlns="http://schemas.openxmlformats.org/officeDocument/2006/custom-properties" xmlns:vt="http://schemas.openxmlformats.org/officeDocument/2006/docPropsVTypes"/>
</file>