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The First Thirty Minutes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a comprehensive theoretical and empirical foundation for understanding the critical first thirty minutes of crisis response. Weick's sensemaking framework (1988, with Maitlis's 2010 update) offers the cognitive lens for understanding how leaders process fragmentary information under extreme uncertainty. Boin et al.'s work (2016, 2020) complements this with institutional and political perspectives on why organizations systematically fail to recognize and activate crisis response despite available signals. Turner's disaster incubation theory provides historical grounding for understanding how warning signals accumulate unnoticed. The Fukushima case (2014) and Thai cave rescue (2018) provide empirical contrasts demonstrating catastrophic activation failure versus remarkably effective early coordination. The IOM toolkit (2013) bridges theory and practice by providing operational frameworks for activation thresholds and escalation triggers. Together, these sources support the chapter's central argument that the opening phase is where consequential decisions meet minimal information, and that the gap between recognition and activation is shaped by cognitive limitations, institutional structures, information processing challenges, and the practical mechanics of who has authority to activate response protocols. The pedagogical value lies in helping students understand that activation failures are rarely individual errors but rather systemic failures shaped by predictable cognitive and organizational dynamics.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Karl E. Weick (1988). </w:t>
      </w:r>
      <w:r>
        <w:rPr>
          <w:rFonts w:ascii="Calibri" w:cs="Calibri" w:eastAsia="Calibri" w:hAnsi="Calibri"/>
          <w:i/>
          <w:iCs/>
          <w:sz w:val="22"/>
          <w:szCs w:val="22"/>
        </w:rPr>
        <w:t xml:space="preserve">Enacted Sensemaking in Crisis Situations</w:t>
      </w:r>
      <w:r>
        <w:rPr>
          <w:rFonts w:ascii="Calibri" w:cs="Calibri" w:eastAsia="Calibri" w:hAnsi="Calibri"/>
          <w:color w:val="666666"/>
          <w:sz w:val="20"/>
          <w:szCs w:val="20"/>
        </w:rPr>
        <w:t xml:space="preserve"> DOI: 10.1111/j.1467-6486.1988.tb00039.x</w:t>
      </w:r>
      <w:r>
        <w:rPr>
          <w:rFonts w:ascii="Calibri" w:cs="Calibri" w:eastAsia="Calibri" w:hAnsi="Calibri"/>
          <w:color w:val="336699"/>
          <w:sz w:val="20"/>
          <w:szCs w:val="20"/>
        </w:rPr>
        <w:t xml:space="preserve"> https://onlinelibrary.wiley.com/doi/10.1111/j.1467-6486.1988.tb00039.x</w:t>
      </w:r>
    </w:p>
    <w:p>
      <w:pPr>
        <w:spacing w:after="40"/>
        <w:ind w:left="360"/>
      </w:pPr>
      <w:r>
        <w:rPr>
          <w:rFonts w:ascii="Calibri" w:cs="Calibri" w:eastAsia="Calibri" w:hAnsi="Calibri"/>
          <w:sz w:val="22"/>
          <w:szCs w:val="22"/>
        </w:rPr>
        <w:t xml:space="preserve">Weick's seminal paper argues that sensemaking in crisis conditions is made difficult because action that is instrumental to understanding the crisis often intensifies it. The paper examines how commitment, capacity, and expectations affect sensemaking during crisis and the severity of the crisis itself. It proposes that action precedes cognition and focuses it, emphasizing that specific action renders many cues irrelevant and consolidates an otherwise unorganized set of environmental elements.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foundational text for the chapter's examination of sensemaking frameworks applied to the challenge of making sense of fragmentary initial reports during the first thirty minutes of a crisis. Directly addresses how leaders must decide whether to manage within normal parameters or shift to crisis mode.</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Sally Maitlis, Marlys Christianson (2010). </w:t>
      </w:r>
      <w:r>
        <w:rPr>
          <w:rFonts w:ascii="Calibri" w:cs="Calibri" w:eastAsia="Calibri" w:hAnsi="Calibri"/>
          <w:i/>
          <w:iCs/>
          <w:sz w:val="22"/>
          <w:szCs w:val="22"/>
        </w:rPr>
        <w:t xml:space="preserve">Sensemaking in Crisis and Change: Inspiration and Insights From Weick (1988)</w:t>
      </w:r>
      <w:r>
        <w:rPr>
          <w:rFonts w:ascii="Calibri" w:cs="Calibri" w:eastAsia="Calibri" w:hAnsi="Calibri"/>
          <w:color w:val="666666"/>
          <w:sz w:val="20"/>
          <w:szCs w:val="20"/>
        </w:rPr>
        <w:t xml:space="preserve"> DOI: 10.1111/j.1467-6486.2010.00908.x</w:t>
      </w:r>
      <w:r>
        <w:rPr>
          <w:rFonts w:ascii="Calibri" w:cs="Calibri" w:eastAsia="Calibri" w:hAnsi="Calibri"/>
          <w:color w:val="336699"/>
          <w:sz w:val="20"/>
          <w:szCs w:val="20"/>
        </w:rPr>
        <w:t xml:space="preserve"> https://onlinelibrary.wiley.com/doi/full/10.1111/j.1467-6486.2010.00908.x</w:t>
      </w:r>
    </w:p>
    <w:p>
      <w:pPr>
        <w:spacing w:after="40"/>
        <w:ind w:left="360"/>
      </w:pPr>
      <w:r>
        <w:rPr>
          <w:rFonts w:ascii="Calibri" w:cs="Calibri" w:eastAsia="Calibri" w:hAnsi="Calibri"/>
          <w:sz w:val="22"/>
          <w:szCs w:val="22"/>
        </w:rPr>
        <w:t xml:space="preserve">This retrospective analysis explores Weick's 1988 work after more than 20 years, examining key sensemaking studies in crisis and change literatures. It reflects on lessons learned about sensemaking in turbulent conditions and argues for two core themes that underlie sensemaking: shared meanings and emotion. The paper demonstrates how crisis and change contexts are especially likely to impede sensemaking processes.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updated analysis of Weick's framework specifically for crisis contexts, examining the cognitive and emotional barriers to effective sensemaking during the critical early phase of crisis response. Essential for understanding why the first thirty minutes are so challenging.</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Arjen Boin, Paul 't Hart, Eric Stern, Bengt Sundelius (2016). </w:t>
      </w:r>
      <w:r>
        <w:rPr>
          <w:rFonts w:ascii="Calibri" w:cs="Calibri" w:eastAsia="Calibri" w:hAnsi="Calibri"/>
          <w:i/>
          <w:iCs/>
          <w:sz w:val="22"/>
          <w:szCs w:val="22"/>
        </w:rPr>
        <w:t xml:space="preserve">The Politics of Crisis Management: Public Leadership Under Pressure</w:t>
      </w:r>
      <w:r>
        <w:rPr>
          <w:rFonts w:ascii="Calibri" w:cs="Calibri" w:eastAsia="Calibri" w:hAnsi="Calibri"/>
          <w:color w:val="336699"/>
          <w:sz w:val="20"/>
          <w:szCs w:val="20"/>
        </w:rPr>
        <w:t xml:space="preserve"> https://www.cambridge.org/core/books/politics-of-crisis-management/CA51C2B81E41D80B40CA451299975BF6</w:t>
      </w:r>
    </w:p>
    <w:p>
      <w:pPr>
        <w:spacing w:after="40"/>
        <w:ind w:left="360"/>
      </w:pPr>
      <w:r>
        <w:rPr>
          <w:rFonts w:ascii="Calibri" w:cs="Calibri" w:eastAsia="Calibri" w:hAnsi="Calibri"/>
          <w:sz w:val="22"/>
          <w:szCs w:val="22"/>
        </w:rPr>
        <w:t xml:space="preserve">This comprehensive text examines crisis management as a deeply political activity. It identifies five key leadership tasks: sense-making (collecting and processing information to detect and understand crises), decision-making and coordinating, meaning-making, accounting, and learning. The book explores cognitive and institutional barriers to crisis recognition, including psychological factors that explain why people fail to recognize impending danger and how organizations are not designed to look for crises.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Central to the chapter's examination of institutional barriers to crisis recognition. Boin and colleagues provide the theoretical framework for understanding political and organizational obstacles to timely activation, including the detection and understanding components of early crisis response.</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Arjen Boin, Christer Brown, Martin Lodge (2020). </w:t>
      </w:r>
      <w:r>
        <w:rPr>
          <w:rFonts w:ascii="Calibri" w:cs="Calibri" w:eastAsia="Calibri" w:hAnsi="Calibri"/>
          <w:i/>
          <w:iCs/>
          <w:sz w:val="22"/>
          <w:szCs w:val="22"/>
        </w:rPr>
        <w:t xml:space="preserve">Hiding in Plain Sight: Conceptualizing the Creeping Crisis</w:t>
      </w:r>
      <w:r>
        <w:rPr>
          <w:rFonts w:ascii="Calibri" w:cs="Calibri" w:eastAsia="Calibri" w:hAnsi="Calibri"/>
          <w:color w:val="666666"/>
          <w:sz w:val="20"/>
          <w:szCs w:val="20"/>
        </w:rPr>
        <w:t xml:space="preserve"> DOI: 10.1002/rhc3.12193</w:t>
      </w:r>
      <w:r>
        <w:rPr>
          <w:rFonts w:ascii="Calibri" w:cs="Calibri" w:eastAsia="Calibri" w:hAnsi="Calibri"/>
          <w:color w:val="336699"/>
          <w:sz w:val="20"/>
          <w:szCs w:val="20"/>
        </w:rPr>
        <w:t xml:space="preserve"> https://onlinelibrary.wiley.com/doi/full/10.1002/rhc3.12193</w:t>
      </w:r>
    </w:p>
    <w:p>
      <w:pPr>
        <w:spacing w:after="40"/>
        <w:ind w:left="360"/>
      </w:pPr>
      <w:r>
        <w:rPr>
          <w:rFonts w:ascii="Calibri" w:cs="Calibri" w:eastAsia="Calibri" w:hAnsi="Calibri"/>
          <w:sz w:val="22"/>
          <w:szCs w:val="22"/>
        </w:rPr>
        <w:t xml:space="preserve">This paper examines why crisis detection is difficult, identifying psychological factors, organizational design failures, and institutionalized ideas about threats that allow undefined threats to pass through organizational filters. It argues that timely detection of crises is no easy task due to the inconceivability of certain events, organizational communication failures, and the challenge of recognizing threats that do not fit existing mental models.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relevant to understanding activation thresholds and why the gap between 'something is wrong' and 'we are now in crisis response mode' is often fatally wide. Explains cognitive and institutional barriers to timely crisis recognition.</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Barry A. Turner, Nick F. Pidgeon (1997). </w:t>
      </w:r>
      <w:r>
        <w:rPr>
          <w:rFonts w:ascii="Calibri" w:cs="Calibri" w:eastAsia="Calibri" w:hAnsi="Calibri"/>
          <w:i/>
          <w:iCs/>
          <w:sz w:val="22"/>
          <w:szCs w:val="22"/>
        </w:rPr>
        <w:t xml:space="preserve">Man-Made Disasters</w:t>
      </w:r>
      <w:r>
        <w:rPr>
          <w:rFonts w:ascii="Calibri" w:cs="Calibri" w:eastAsia="Calibri" w:hAnsi="Calibri"/>
          <w:color w:val="336699"/>
          <w:sz w:val="20"/>
          <w:szCs w:val="20"/>
        </w:rPr>
        <w:t xml:space="preserve"> https://books.google.com/books/about/Man_made_Disasters.html?id=7Hq6AAAAIAAJ</w:t>
      </w:r>
    </w:p>
    <w:p>
      <w:pPr>
        <w:spacing w:after="40"/>
        <w:ind w:left="360"/>
      </w:pPr>
      <w:r>
        <w:rPr>
          <w:rFonts w:ascii="Calibri" w:cs="Calibri" w:eastAsia="Calibri" w:hAnsi="Calibri"/>
          <w:sz w:val="22"/>
          <w:szCs w:val="22"/>
        </w:rPr>
        <w:t xml:space="preserve">Turner's seminal work introduces the concept of the 'incubation period' - an accumulation of unnoticed events at odds with accepted beliefs about hazards and norms to control them. The book proposes that disasters have preconditions including long incubation periods and early signals which are ignored or misinterpreted. It identifies four key problems with information: completely unknown information, prior information not fully appreciated, prior information not correctly assembled, and prior information that does not fit existing models or categories.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Foundational for understanding how warning signals are systematically underweighted during the opening phase of a crisis. Turner's work on information problems directly relates to the challenge of information triage when signal-to-noise ratios are abysmal in the first thirty minutes.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National Research Council Committee on Lessons Learned from the Fukushima Nuclear Accident (2014). </w:t>
      </w:r>
      <w:r>
        <w:rPr>
          <w:rFonts w:ascii="Calibri" w:cs="Calibri" w:eastAsia="Calibri" w:hAnsi="Calibri"/>
          <w:i/>
          <w:iCs/>
          <w:sz w:val="22"/>
          <w:szCs w:val="22"/>
        </w:rPr>
        <w:t xml:space="preserve">Lessons Learned from the Fukushima Nuclear Accident for Improving Safety of U.S. Nuclear Plants</w:t>
      </w:r>
      <w:r>
        <w:rPr>
          <w:rFonts w:ascii="Calibri" w:cs="Calibri" w:eastAsia="Calibri" w:hAnsi="Calibri"/>
          <w:color w:val="666666"/>
          <w:sz w:val="20"/>
          <w:szCs w:val="20"/>
        </w:rPr>
        <w:t xml:space="preserve"> DOI: 10.17226/18358</w:t>
      </w:r>
      <w:r>
        <w:rPr>
          <w:rFonts w:ascii="Calibri" w:cs="Calibri" w:eastAsia="Calibri" w:hAnsi="Calibri"/>
          <w:color w:val="336699"/>
          <w:sz w:val="20"/>
          <w:szCs w:val="20"/>
        </w:rPr>
        <w:t xml:space="preserve"> https://www.ncbi.nlm.nih.gov/books/NBK253923/</w:t>
      </w:r>
    </w:p>
    <w:p>
      <w:pPr>
        <w:spacing w:after="40"/>
        <w:ind w:left="360"/>
      </w:pPr>
      <w:r>
        <w:rPr>
          <w:rFonts w:ascii="Calibri" w:cs="Calibri" w:eastAsia="Calibri" w:hAnsi="Calibri"/>
          <w:sz w:val="22"/>
          <w:szCs w:val="22"/>
        </w:rPr>
        <w:t xml:space="preserve">This comprehensive report examines the Fukushima Daiichi accident, revealing vulnerabilities in offsite emergency management where competing demands of the earthquake and tsunami diminished available response capacity. Decision-making processes were challenged by the lack of reliable, real-time information on plant status, offsite releases, accident progression, and projected doses. Emergency management plans were inadequate to deal with the magnitude of the accident, requiring emergency responders to improvise, demonstrating how escalation signals were systematically underweighted.</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key case study for the chapter on what happens when activation is too slow and escalation signals are systematically underweighted. Documents the specific challenges of decision-making with fragmentary information during the critical opening phase of a major crisis.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Australian Government Department of Home Affairs, Emergency Management Australia (2018). </w:t>
      </w:r>
      <w:r>
        <w:rPr>
          <w:rFonts w:ascii="Calibri" w:cs="Calibri" w:eastAsia="Calibri" w:hAnsi="Calibri"/>
          <w:i/>
          <w:iCs/>
          <w:sz w:val="22"/>
          <w:szCs w:val="22"/>
        </w:rPr>
        <w:t xml:space="preserve">Thai Cave Rescue Symposium 2018: Symposium Report</w:t>
      </w:r>
      <w:r>
        <w:rPr>
          <w:rFonts w:ascii="Calibri" w:cs="Calibri" w:eastAsia="Calibri" w:hAnsi="Calibri"/>
          <w:color w:val="336699"/>
          <w:sz w:val="20"/>
          <w:szCs w:val="20"/>
        </w:rPr>
        <w:t xml:space="preserve"> https://www.homeaffairs.gov.au/emergency/files/thai-cave-rescue-report-web.pdf</w:t>
      </w:r>
    </w:p>
    <w:p>
      <w:pPr>
        <w:spacing w:after="40"/>
        <w:ind w:left="360"/>
      </w:pPr>
      <w:r>
        <w:rPr>
          <w:rFonts w:ascii="Calibri" w:cs="Calibri" w:eastAsia="Calibri" w:hAnsi="Calibri"/>
          <w:sz w:val="22"/>
          <w:szCs w:val="22"/>
        </w:rPr>
        <w:t xml:space="preserve">This report analyzes the remarkably effective coordination response to the Tham Luang cave rescue in Thailand. It examines leadership, command, control and coordination across strategic, operational and tactical elements. The rescue demonstrated multi-agency cooperation requiring coordination between senior decision-making personnel and tactical operators. Key factors included clear role clarity, effective communication protocols, and the rapid mobilization of international expertise within the critical early phase.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contrasting case study to Fukushima, demonstrating when initial coordination and activation is remarkably effective. Illustrates the structural and cultural factors that enable rapid, effective mobilization during the opening phase when the stakes are highest and information is limited.</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Institute of Medicine Committee on Guidance for Establishing Standards of Care for Use in Disaster Situations (2013). </w:t>
      </w:r>
      <w:r>
        <w:rPr>
          <w:rFonts w:ascii="Calibri" w:cs="Calibri" w:eastAsia="Calibri" w:hAnsi="Calibri"/>
          <w:i/>
          <w:iCs/>
          <w:sz w:val="22"/>
          <w:szCs w:val="22"/>
        </w:rPr>
        <w:t xml:space="preserve">Crisis Standards of Care: A Toolkit for Indicators and Triggers</w:t>
      </w:r>
      <w:r>
        <w:rPr>
          <w:rFonts w:ascii="Calibri" w:cs="Calibri" w:eastAsia="Calibri" w:hAnsi="Calibri"/>
          <w:color w:val="666666"/>
          <w:sz w:val="20"/>
          <w:szCs w:val="20"/>
        </w:rPr>
        <w:t xml:space="preserve"> DOI: 10.17226/18338</w:t>
      </w:r>
      <w:r>
        <w:rPr>
          <w:rFonts w:ascii="Calibri" w:cs="Calibri" w:eastAsia="Calibri" w:hAnsi="Calibri"/>
          <w:color w:val="336699"/>
          <w:sz w:val="20"/>
          <w:szCs w:val="20"/>
        </w:rPr>
        <w:t xml:space="preserve"> https://nap.nationalacademies.org/read/18338/chapter/4</w:t>
      </w:r>
    </w:p>
    <w:p>
      <w:pPr>
        <w:spacing w:after="40"/>
        <w:ind w:left="360"/>
      </w:pPr>
      <w:r>
        <w:rPr>
          <w:rFonts w:ascii="Calibri" w:cs="Calibri" w:eastAsia="Calibri" w:hAnsi="Calibri"/>
          <w:sz w:val="22"/>
          <w:szCs w:val="22"/>
        </w:rPr>
        <w:t xml:space="preserve">This toolkit provides comprehensive guidance on indicators and triggers for incident recognition, response, and recovery. It defines triggers as specific thresholds that are recognized by the community to require action, distinguishing between activation of general disaster plans and crisis standards of care plans. The report emphasizes that indicators may require processing to determine if a trigger threshold has been reached, and these decisions are directly tied to available resources in the community.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addresses the mechanics of escalation protocols and activation thresholds covered in the chapter. Provides practical frameworks for understanding when specific indicators cross thresholds requiring action, and the challenge of scripted versus expert-analysis-dependent triggers.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2026-02-20T05:41:56.476Z</dcterms:created>
  <dcterms:modified xsi:type="dcterms:W3CDTF">2026-02-20T05:41:56.476Z</dcterms:modified>
</cp:coreProperties>
</file>

<file path=docProps/custom.xml><?xml version="1.0" encoding="utf-8"?>
<Properties xmlns="http://schemas.openxmlformats.org/officeDocument/2006/custom-properties" xmlns:vt="http://schemas.openxmlformats.org/officeDocument/2006/docPropsVTypes"/>
</file>