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Leadership through Crisis: Decision-Making When the Stakes Are High</w:t>
      </w:r>
    </w:p>
    <w:p>
      <w:pPr>
        <w:spacing w:after="200"/>
        <w:jc w:val="center"/>
      </w:pPr>
      <w:r>
        <w:rPr>
          <w:rFonts w:ascii="Calibri" w:cs="Calibri" w:eastAsia="Calibri" w:hAnsi="Calibri"/>
          <w:sz w:val="24"/>
          <w:szCs w:val="24"/>
        </w:rPr>
        <w:t xml:space="preserve">Who Needs to Know What, and When — Research Dossier</w:t>
      </w:r>
    </w:p>
    <w:p>
      <w:pPr>
        <w:pBdr>
          <w:bottom w:val="single" w:color="999999" w:sz="1"/>
        </w:pBdr>
        <w:spacing w:after="200"/>
      </w:pPr>
    </w:p>
    <w:p>
      <w:pPr>
        <w:pStyle w:val="Heading2"/>
        <w:spacing w:before="200" w:after="120"/>
      </w:pPr>
      <w:r>
        <w:rPr>
          <w:rFonts w:ascii="Calibri" w:cs="Calibri" w:eastAsia="Calibri" w:hAnsi="Calibri"/>
          <w:b/>
          <w:bCs/>
          <w:sz w:val="24"/>
          <w:szCs w:val="24"/>
        </w:rPr>
        <w:t xml:space="preserve">Synthesis Notes</w:t>
      </w:r>
    </w:p>
    <w:p>
      <w:pPr>
        <w:spacing w:after="200"/>
      </w:pPr>
      <w:r>
        <w:rPr>
          <w:rFonts w:ascii="Calibri" w:cs="Calibri" w:eastAsia="Calibri" w:hAnsi="Calibri"/>
          <w:sz w:val="22"/>
          <w:szCs w:val="22"/>
        </w:rPr>
        <w:t xml:space="preserve">These sources collectively establish the theoretical and empirical foundation for the chapter's argument that information architecture is fundamental to crisis response effectiveness. The Mitchell et al. (1997) stakeholder salience framework provides the baseline theory that Boin et al. (2017) and Alpaslan et al. (2009) extend into crisis contexts, demonstrating that power, legitimacy, and urgency attributes shift dramatically under crisis conditions. The case studies (Fukushima, Grenfell, Black Summer) provide concrete evidence of how information hierarchy failures manifest: technical expertise trapped in silos (Fukushima), different agencies operating with incompatible situational pictures (Grenfell), and information flowing to wrong people at wrong times (Black Summer bushfires). The multi-agency coordination literature (Bharosa et al., Ackerman et al.) explains the structural challenges—different terminologies, protocols, and institutional assumptions—that create coordination failure points. Finally, the cognitive load research (Comes et al.) provides the psychological mechanism linking information filtering to decision quality, showing that information overload under crisis conditions degrades decision-making capacity even among experienced professionals. Together, these sources support a pedagogical progression from stakeholder theory foundations, through crisis-specific adaptations, to practical application in designing information architectures that match information fidelity to decision authority while accounting for cognitive limitations. The key pedagogical takeaway is that effective crisis communication (the following chapter) is impossible without first establishing clear information architecture—determining who needs what information, when, through which channels, and filtered to what level of detail.</w:t>
      </w:r>
    </w:p>
    <w:p>
      <w:pPr>
        <w:pStyle w:val="Heading2"/>
        <w:spacing w:before="200" w:after="120"/>
      </w:pPr>
      <w:r>
        <w:rPr>
          <w:rFonts w:ascii="Calibri" w:cs="Calibri" w:eastAsia="Calibri" w:hAnsi="Calibri"/>
          <w:b/>
          <w:bCs/>
          <w:sz w:val="24"/>
          <w:szCs w:val="24"/>
        </w:rPr>
        <w:t xml:space="preserve">Sources (8)</w:t>
      </w:r>
    </w:p>
    <w:p>
      <w:pPr>
        <w:spacing w:before="200" w:after="60"/>
      </w:pPr>
      <w:r>
        <w:rPr>
          <w:rFonts w:ascii="Calibri" w:cs="Calibri" w:eastAsia="Calibri" w:hAnsi="Calibri"/>
          <w:b/>
          <w:bCs/>
          <w:sz w:val="22"/>
          <w:szCs w:val="22"/>
        </w:rPr>
        <w:t xml:space="preserve">1. </w:t>
      </w:r>
      <w:r>
        <w:rPr>
          <w:rFonts w:ascii="Calibri" w:cs="Calibri" w:eastAsia="Calibri" w:hAnsi="Calibri"/>
          <w:b/>
          <w:bCs/>
          <w:sz w:val="22"/>
          <w:szCs w:val="22"/>
        </w:rPr>
        <w:t xml:space="preserve">Arjen Boin, Paul 't Hart, Eric Stern, Bengt Sundelius (2017). </w:t>
      </w:r>
      <w:r>
        <w:rPr>
          <w:rFonts w:ascii="Calibri" w:cs="Calibri" w:eastAsia="Calibri" w:hAnsi="Calibri"/>
          <w:i/>
          <w:iCs/>
          <w:sz w:val="22"/>
          <w:szCs w:val="22"/>
        </w:rPr>
        <w:t xml:space="preserve">The Politics of Crisis Management: Public Leadership under Pressure</w:t>
      </w:r>
      <w:r>
        <w:rPr>
          <w:rFonts w:ascii="Calibri" w:cs="Calibri" w:eastAsia="Calibri" w:hAnsi="Calibri"/>
          <w:color w:val="666666"/>
          <w:sz w:val="20"/>
          <w:szCs w:val="20"/>
        </w:rPr>
        <w:t xml:space="preserve"> DOI: 10.1017/9781316339756</w:t>
      </w:r>
      <w:r>
        <w:rPr>
          <w:rFonts w:ascii="Calibri" w:cs="Calibri" w:eastAsia="Calibri" w:hAnsi="Calibri"/>
          <w:color w:val="336699"/>
          <w:sz w:val="20"/>
          <w:szCs w:val="20"/>
        </w:rPr>
        <w:t xml:space="preserve"> https://www.cambridge.org/core/books/politics-of-crisis-management/CA51C2B81E41D80B40CA451299975BF6</w:t>
      </w:r>
    </w:p>
    <w:p>
      <w:pPr>
        <w:spacing w:after="40"/>
        <w:ind w:left="360"/>
      </w:pPr>
      <w:r>
        <w:rPr>
          <w:rFonts w:ascii="Calibri" w:cs="Calibri" w:eastAsia="Calibri" w:hAnsi="Calibri"/>
          <w:sz w:val="22"/>
          <w:szCs w:val="22"/>
        </w:rPr>
        <w:t xml:space="preserve">Comprehensive framework examining crisis management as strategic leadership challenge. Defines sense-making as collecting and processing information to detect and understand emerging crises. Addresses how leaders must communicate with stakeholders and coordinate multi-agency response. Examines the cognitive and political challenges of crisis decision-making under uncertainty.</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Foundational text for understanding stakeholder dynamics in crisis. Directly supports the chapter's argument that stakeholder salience shifts dramatically during crisis—people who are irrelevant in normal operations become central players. Provides theoretical grounding for information hierarchy and filtering concepts.</w:t>
      </w:r>
    </w:p>
    <w:p>
      <w:pPr>
        <w:spacing w:before="200" w:after="60"/>
      </w:pPr>
      <w:r>
        <w:rPr>
          <w:rFonts w:ascii="Calibri" w:cs="Calibri" w:eastAsia="Calibri" w:hAnsi="Calibri"/>
          <w:b/>
          <w:bCs/>
          <w:sz w:val="22"/>
          <w:szCs w:val="22"/>
        </w:rPr>
        <w:t xml:space="preserve">2. </w:t>
      </w:r>
      <w:r>
        <w:rPr>
          <w:rFonts w:ascii="Calibri" w:cs="Calibri" w:eastAsia="Calibri" w:hAnsi="Calibri"/>
          <w:b/>
          <w:bCs/>
          <w:sz w:val="22"/>
          <w:szCs w:val="22"/>
        </w:rPr>
        <w:t xml:space="preserve">Can M. Alpaslan, Sandy E. Green, Ian I. Mitroff (2009). </w:t>
      </w:r>
      <w:r>
        <w:rPr>
          <w:rFonts w:ascii="Calibri" w:cs="Calibri" w:eastAsia="Calibri" w:hAnsi="Calibri"/>
          <w:i/>
          <w:iCs/>
          <w:sz w:val="22"/>
          <w:szCs w:val="22"/>
        </w:rPr>
        <w:t xml:space="preserve">Corporate Governance in the Context of Crises: Towards a Stakeholder Theory of Crisis Management</w:t>
      </w:r>
      <w:r>
        <w:rPr>
          <w:rFonts w:ascii="Calibri" w:cs="Calibri" w:eastAsia="Calibri" w:hAnsi="Calibri"/>
          <w:color w:val="666666"/>
          <w:sz w:val="20"/>
          <w:szCs w:val="20"/>
        </w:rPr>
        <w:t xml:space="preserve"> DOI: 10.1111/j.1468-5973.2009.00555.x</w:t>
      </w:r>
      <w:r>
        <w:rPr>
          <w:rFonts w:ascii="Calibri" w:cs="Calibri" w:eastAsia="Calibri" w:hAnsi="Calibri"/>
          <w:color w:val="336699"/>
          <w:sz w:val="20"/>
          <w:szCs w:val="20"/>
        </w:rPr>
        <w:t xml:space="preserve"> https://onlinelibrary.wiley.com/doi/abs/10.1111/j.1468-5973.2009.00555.x</w:t>
      </w:r>
    </w:p>
    <w:p>
      <w:pPr>
        <w:spacing w:after="40"/>
        <w:ind w:left="360"/>
      </w:pPr>
      <w:r>
        <w:rPr>
          <w:rFonts w:ascii="Calibri" w:cs="Calibri" w:eastAsia="Calibri" w:hAnsi="Calibri"/>
          <w:sz w:val="22"/>
          <w:szCs w:val="22"/>
        </w:rPr>
        <w:t xml:space="preserve">Develops stakeholder theory specifically for crisis contexts. Demonstrates that crisis situations drastically alter stakeholder salience, with dormant stakeholders becoming dangerous in times of crisis. Shows how stakeholder attributes of power, legitimacy, and urgency shift during crisis events, requiring dynamic reassessment of 'who and what really counts.'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Directly addresses the chapter's core concept of dynamic stakeholder mapping. Provides empirical evidence that stakeholder salience is not static but transforms during crisis, requiring managers to move beyond standard power-interest grids. Supports the argument that authority evaporates and new actors emerge as salient.</w:t>
      </w:r>
    </w:p>
    <w:p>
      <w:pPr>
        <w:spacing w:before="200" w:after="60"/>
      </w:pPr>
      <w:r>
        <w:rPr>
          <w:rFonts w:ascii="Calibri" w:cs="Calibri" w:eastAsia="Calibri" w:hAnsi="Calibri"/>
          <w:b/>
          <w:bCs/>
          <w:sz w:val="22"/>
          <w:szCs w:val="22"/>
        </w:rPr>
        <w:t xml:space="preserve">3. </w:t>
      </w:r>
      <w:r>
        <w:rPr>
          <w:rFonts w:ascii="Calibri" w:cs="Calibri" w:eastAsia="Calibri" w:hAnsi="Calibri"/>
          <w:b/>
          <w:bCs/>
          <w:sz w:val="22"/>
          <w:szCs w:val="22"/>
        </w:rPr>
        <w:t xml:space="preserve">Ronald K. Mitchell, Bradley R. Agle, Donna J. Wood (1997). </w:t>
      </w:r>
      <w:r>
        <w:rPr>
          <w:rFonts w:ascii="Calibri" w:cs="Calibri" w:eastAsia="Calibri" w:hAnsi="Calibri"/>
          <w:i/>
          <w:iCs/>
          <w:sz w:val="22"/>
          <w:szCs w:val="22"/>
        </w:rPr>
        <w:t xml:space="preserve">Toward a Theory of Stakeholder Identification and Salience: Defining the Principle of Who and What Really Counts</w:t>
      </w:r>
      <w:r>
        <w:rPr>
          <w:rFonts w:ascii="Calibri" w:cs="Calibri" w:eastAsia="Calibri" w:hAnsi="Calibri"/>
          <w:color w:val="666666"/>
          <w:sz w:val="20"/>
          <w:szCs w:val="20"/>
        </w:rPr>
        <w:t xml:space="preserve"> DOI: 10.5465/AMR.1997.9711022105</w:t>
      </w:r>
      <w:r>
        <w:rPr>
          <w:rFonts w:ascii="Calibri" w:cs="Calibri" w:eastAsia="Calibri" w:hAnsi="Calibri"/>
          <w:color w:val="336699"/>
          <w:sz w:val="20"/>
          <w:szCs w:val="20"/>
        </w:rPr>
        <w:t xml:space="preserve"> https://www.jstor.org/stable/259247</w:t>
      </w:r>
    </w:p>
    <w:p>
      <w:pPr>
        <w:spacing w:after="40"/>
        <w:ind w:left="360"/>
      </w:pPr>
      <w:r>
        <w:rPr>
          <w:rFonts w:ascii="Calibri" w:cs="Calibri" w:eastAsia="Calibri" w:hAnsi="Calibri"/>
          <w:sz w:val="22"/>
          <w:szCs w:val="22"/>
        </w:rPr>
        <w:t xml:space="preserve">Seminal framework proposing that stakeholder salience is determined by three attributes: power, legitimacy, and urgency. Creates typology of stakeholder classes (latent, expectant, and definitive) based on combinations of these attributes. Provides theoretical foundation for moving beyond simplistic stakeholder identification.</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the baseline stakeholder salience framework that the chapter extends into crisis contexts. Essential for students to understand what the 'standard two-by-two power-interest grid' fails to capture. Enables comparison between steady-state and crisis-state stakeholder dynamics.</w:t>
      </w:r>
    </w:p>
    <w:p>
      <w:pPr>
        <w:spacing w:before="200" w:after="60"/>
      </w:pPr>
      <w:r>
        <w:rPr>
          <w:rFonts w:ascii="Calibri" w:cs="Calibri" w:eastAsia="Calibri" w:hAnsi="Calibri"/>
          <w:b/>
          <w:bCs/>
          <w:sz w:val="22"/>
          <w:szCs w:val="22"/>
        </w:rPr>
        <w:t xml:space="preserve">4. </w:t>
      </w:r>
      <w:r>
        <w:rPr>
          <w:rFonts w:ascii="Calibri" w:cs="Calibri" w:eastAsia="Calibri" w:hAnsi="Calibri"/>
          <w:b/>
          <w:bCs/>
          <w:sz w:val="22"/>
          <w:szCs w:val="22"/>
        </w:rPr>
        <w:t xml:space="preserve">Nitesh Bharosa, Joost Lee, Marijn Janssen (2010). </w:t>
      </w:r>
      <w:r>
        <w:rPr>
          <w:rFonts w:ascii="Calibri" w:cs="Calibri" w:eastAsia="Calibri" w:hAnsi="Calibri"/>
          <w:i/>
          <w:iCs/>
          <w:sz w:val="22"/>
          <w:szCs w:val="22"/>
        </w:rPr>
        <w:t xml:space="preserve">Challenges and obstacles in sharing and coordinating information during multi-agency disaster response: Propositions from field exercises</w:t>
      </w:r>
      <w:r>
        <w:rPr>
          <w:rFonts w:ascii="Calibri" w:cs="Calibri" w:eastAsia="Calibri" w:hAnsi="Calibri"/>
          <w:color w:val="666666"/>
          <w:sz w:val="20"/>
          <w:szCs w:val="20"/>
        </w:rPr>
        <w:t xml:space="preserve"> DOI: 10.1007/s10796-009-9174-z</w:t>
      </w:r>
      <w:r>
        <w:rPr>
          <w:rFonts w:ascii="Calibri" w:cs="Calibri" w:eastAsia="Calibri" w:hAnsi="Calibri"/>
          <w:color w:val="336699"/>
          <w:sz w:val="20"/>
          <w:szCs w:val="20"/>
        </w:rPr>
        <w:t xml:space="preserve"> https://link.springer.com/article/10.1007/s10796-009-9174-z</w:t>
      </w:r>
    </w:p>
    <w:p>
      <w:pPr>
        <w:spacing w:after="40"/>
        <w:ind w:left="360"/>
      </w:pPr>
      <w:r>
        <w:rPr>
          <w:rFonts w:ascii="Calibri" w:cs="Calibri" w:eastAsia="Calibri" w:hAnsi="Calibri"/>
          <w:sz w:val="22"/>
          <w:szCs w:val="22"/>
        </w:rPr>
        <w:t xml:space="preserve">Empirical study of multi-agency disaster response exercises identifying information sharing as the main bottleneck in effective inter-agency crisis response. Documents challenges including unpredictable and dynamic nature of disasters, different organizational cultures, distinct work practices, and discrete information systems that impede coordination.</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Directly supports the chapter's examination of multi-agency coordination challenges where different organizations use different terminology, protocols, and institutional assumptions. Provides evidence for the information architecture challenges that create coordination failure points in crisis response.</w:t>
      </w:r>
    </w:p>
    <w:p>
      <w:pPr>
        <w:spacing w:before="200" w:after="60"/>
      </w:pPr>
      <w:r>
        <w:rPr>
          <w:rFonts w:ascii="Calibri" w:cs="Calibri" w:eastAsia="Calibri" w:hAnsi="Calibri"/>
          <w:b/>
          <w:bCs/>
          <w:sz w:val="22"/>
          <w:szCs w:val="22"/>
        </w:rPr>
        <w:t xml:space="preserve">5. </w:t>
      </w:r>
      <w:r>
        <w:rPr>
          <w:rFonts w:ascii="Calibri" w:cs="Calibri" w:eastAsia="Calibri" w:hAnsi="Calibri"/>
          <w:b/>
          <w:bCs/>
          <w:sz w:val="22"/>
          <w:szCs w:val="22"/>
        </w:rPr>
        <w:t xml:space="preserve">Yoichi Funabashi, Kay Kitazawa (2012). </w:t>
      </w:r>
      <w:r>
        <w:rPr>
          <w:rFonts w:ascii="Calibri" w:cs="Calibri" w:eastAsia="Calibri" w:hAnsi="Calibri"/>
          <w:i/>
          <w:iCs/>
          <w:sz w:val="22"/>
          <w:szCs w:val="22"/>
        </w:rPr>
        <w:t xml:space="preserve">Fukushima in review: A complex disaster, a disastrous response</w:t>
      </w:r>
      <w:r>
        <w:rPr>
          <w:rFonts w:ascii="Calibri" w:cs="Calibri" w:eastAsia="Calibri" w:hAnsi="Calibri"/>
          <w:color w:val="666666"/>
          <w:sz w:val="20"/>
          <w:szCs w:val="20"/>
        </w:rPr>
        <w:t xml:space="preserve"> DOI: 10.1177/0096340212440359</w:t>
      </w:r>
      <w:r>
        <w:rPr>
          <w:rFonts w:ascii="Calibri" w:cs="Calibri" w:eastAsia="Calibri" w:hAnsi="Calibri"/>
          <w:color w:val="336699"/>
          <w:sz w:val="20"/>
          <w:szCs w:val="20"/>
        </w:rPr>
        <w:t xml:space="preserve"> https://journals.sagepub.com/doi/full/10.1177/0096340212440359</w:t>
      </w:r>
    </w:p>
    <w:p>
      <w:pPr>
        <w:spacing w:after="40"/>
        <w:ind w:left="360"/>
      </w:pPr>
      <w:r>
        <w:rPr>
          <w:rFonts w:ascii="Calibri" w:cs="Calibri" w:eastAsia="Calibri" w:hAnsi="Calibri"/>
          <w:sz w:val="22"/>
          <w:szCs w:val="22"/>
        </w:rPr>
        <w:t xml:space="preserve">Analysis of Fukushima Daiichi response documenting how critical technical information was trapped in silos while national decision-makers operated on assumptions disconnected from plant conditions. Details communication gaps between government and nuclear industry, organizational dysfunction, and lack of effective information sharing that prevented prompt decision-making.</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the case study evidence cited in the chapter description. Demonstrates exactly how information hierarchy failure—with technical expertise unable to reach decision authority—led to catastrophic outcomes. Shows information filtering creating dangerous blind spots rather than protecting decision quality.</w:t>
      </w:r>
    </w:p>
    <w:p>
      <w:pPr>
        <w:spacing w:before="200" w:after="60"/>
      </w:pPr>
      <w:r>
        <w:rPr>
          <w:rFonts w:ascii="Calibri" w:cs="Calibri" w:eastAsia="Calibri" w:hAnsi="Calibri"/>
          <w:b/>
          <w:bCs/>
          <w:sz w:val="22"/>
          <w:szCs w:val="22"/>
        </w:rPr>
        <w:t xml:space="preserve">6. </w:t>
      </w:r>
      <w:r>
        <w:rPr>
          <w:rFonts w:ascii="Calibri" w:cs="Calibri" w:eastAsia="Calibri" w:hAnsi="Calibri"/>
          <w:b/>
          <w:bCs/>
          <w:sz w:val="22"/>
          <w:szCs w:val="22"/>
        </w:rPr>
        <w:t xml:space="preserve">Sir Martin Moore-Bick (2019). </w:t>
      </w:r>
      <w:r>
        <w:rPr>
          <w:rFonts w:ascii="Calibri" w:cs="Calibri" w:eastAsia="Calibri" w:hAnsi="Calibri"/>
          <w:i/>
          <w:iCs/>
          <w:sz w:val="22"/>
          <w:szCs w:val="22"/>
        </w:rPr>
        <w:t xml:space="preserve">Grenfell Tower Inquiry: Phase 1 Report</w:t>
      </w:r>
      <w:r>
        <w:rPr>
          <w:rFonts w:ascii="Calibri" w:cs="Calibri" w:eastAsia="Calibri" w:hAnsi="Calibri"/>
          <w:color w:val="336699"/>
          <w:sz w:val="20"/>
          <w:szCs w:val="20"/>
        </w:rPr>
        <w:t xml:space="preserve"> https://www.grenfelltowerinquiry.org.uk/phase-1-report</w:t>
      </w:r>
    </w:p>
    <w:p>
      <w:pPr>
        <w:spacing w:after="40"/>
        <w:ind w:left="360"/>
      </w:pPr>
      <w:r>
        <w:rPr>
          <w:rFonts w:ascii="Calibri" w:cs="Calibri" w:eastAsia="Calibri" w:hAnsi="Calibri"/>
          <w:sz w:val="22"/>
          <w:szCs w:val="22"/>
        </w:rPr>
        <w:t xml:space="preserve">Public inquiry documenting systemic failures in Grenfell Tower fire response. Identifies lack of coordination between emergency services (fire, police, ambulance), particularly in communication between control rooms and regarding advice to callers. Details how different responders operated with different situational pictures due to absent information hierarchy, leading to chaotic information management and fatal delays.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Exemplifies the chapter's claim that Grenfell responders operated with different situational pictures because information hierarchy had not been established. Demonstrates consequences when multi-agency coordination fails and information filtering breaks down, creating fundamental command and control failures.</w:t>
      </w:r>
    </w:p>
    <w:p>
      <w:pPr>
        <w:spacing w:before="200" w:after="60"/>
      </w:pPr>
      <w:r>
        <w:rPr>
          <w:rFonts w:ascii="Calibri" w:cs="Calibri" w:eastAsia="Calibri" w:hAnsi="Calibri"/>
          <w:b/>
          <w:bCs/>
          <w:sz w:val="22"/>
          <w:szCs w:val="22"/>
        </w:rPr>
        <w:t xml:space="preserve">7. </w:t>
      </w:r>
      <w:r>
        <w:rPr>
          <w:rFonts w:ascii="Calibri" w:cs="Calibri" w:eastAsia="Calibri" w:hAnsi="Calibri"/>
          <w:b/>
          <w:bCs/>
          <w:sz w:val="22"/>
          <w:szCs w:val="22"/>
        </w:rPr>
        <w:t xml:space="preserve">Mark Ackerman, Volker Wulf, Volkmar Pipek, Dave Randall (2014). </w:t>
      </w:r>
      <w:r>
        <w:rPr>
          <w:rFonts w:ascii="Calibri" w:cs="Calibri" w:eastAsia="Calibri" w:hAnsi="Calibri"/>
          <w:i/>
          <w:iCs/>
          <w:sz w:val="22"/>
          <w:szCs w:val="22"/>
        </w:rPr>
        <w:t xml:space="preserve">Information and Expertise Sharing in Inter-Organizational Crisis Management</w:t>
      </w:r>
      <w:r>
        <w:rPr>
          <w:rFonts w:ascii="Calibri" w:cs="Calibri" w:eastAsia="Calibri" w:hAnsi="Calibri"/>
          <w:color w:val="666666"/>
          <w:sz w:val="20"/>
          <w:szCs w:val="20"/>
        </w:rPr>
        <w:t xml:space="preserve"> DOI: 10.1007/s10606-014-9205-2</w:t>
      </w:r>
      <w:r>
        <w:rPr>
          <w:rFonts w:ascii="Calibri" w:cs="Calibri" w:eastAsia="Calibri" w:hAnsi="Calibri"/>
          <w:color w:val="336699"/>
          <w:sz w:val="20"/>
          <w:szCs w:val="20"/>
        </w:rPr>
        <w:t xml:space="preserve"> https://link.springer.com/article/10.1007/s10606-014-9205-2</w:t>
      </w:r>
    </w:p>
    <w:p>
      <w:pPr>
        <w:spacing w:after="40"/>
        <w:ind w:left="360"/>
      </w:pPr>
      <w:r>
        <w:rPr>
          <w:rFonts w:ascii="Calibri" w:cs="Calibri" w:eastAsia="Calibri" w:hAnsi="Calibri"/>
          <w:sz w:val="22"/>
          <w:szCs w:val="22"/>
        </w:rPr>
        <w:t xml:space="preserve">Examines practices and obstacles in inter-organizational crisis management through empirical study of collaboration between police, fire departments, public administration, and utilities. Documents how different organizational cultures, distinct work practices, and discrete information systems create challenges for information and expertise sharing. Notes that degree of improvisation is necessary but faces significant barriers.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Supports understanding of why multi-agency coordination is so challenging—not just technical issues but cultural and organizational differences that affect information flow. Relevant to the chapter's examination of how organizations use different terminology and carry different institutional assumptions about authority.</w:t>
      </w:r>
    </w:p>
    <w:p>
      <w:pPr>
        <w:spacing w:before="200" w:after="60"/>
      </w:pPr>
      <w:r>
        <w:rPr>
          <w:rFonts w:ascii="Calibri" w:cs="Calibri" w:eastAsia="Calibri" w:hAnsi="Calibri"/>
          <w:b/>
          <w:bCs/>
          <w:sz w:val="22"/>
          <w:szCs w:val="22"/>
        </w:rPr>
        <w:t xml:space="preserve">8. </w:t>
      </w:r>
      <w:r>
        <w:rPr>
          <w:rFonts w:ascii="Calibri" w:cs="Calibri" w:eastAsia="Calibri" w:hAnsi="Calibri"/>
          <w:b/>
          <w:bCs/>
          <w:sz w:val="22"/>
          <w:szCs w:val="22"/>
        </w:rPr>
        <w:t xml:space="preserve">Tina Comes, Lena Hiete, Nataliya Wijngaards, Frank Schultmann (2022). </w:t>
      </w:r>
      <w:r>
        <w:rPr>
          <w:rFonts w:ascii="Calibri" w:cs="Calibri" w:eastAsia="Calibri" w:hAnsi="Calibri"/>
          <w:i/>
          <w:iCs/>
          <w:sz w:val="22"/>
          <w:szCs w:val="22"/>
        </w:rPr>
        <w:t xml:space="preserve">On the Interplay of Data and Cognitive Bias in Crisis Information Management</w:t>
      </w:r>
      <w:r>
        <w:rPr>
          <w:rFonts w:ascii="Calibri" w:cs="Calibri" w:eastAsia="Calibri" w:hAnsi="Calibri"/>
          <w:color w:val="666666"/>
          <w:sz w:val="20"/>
          <w:szCs w:val="20"/>
        </w:rPr>
        <w:t xml:space="preserve"> DOI: 10.1007/s10796-022-10241-0</w:t>
      </w:r>
      <w:r>
        <w:rPr>
          <w:rFonts w:ascii="Calibri" w:cs="Calibri" w:eastAsia="Calibri" w:hAnsi="Calibri"/>
          <w:color w:val="336699"/>
          <w:sz w:val="20"/>
          <w:szCs w:val="20"/>
        </w:rPr>
        <w:t xml:space="preserve"> https://link.springer.com/article/10.1007/s10796-022-10241-0</w:t>
      </w:r>
    </w:p>
    <w:p>
      <w:pPr>
        <w:spacing w:after="40"/>
        <w:ind w:left="360"/>
      </w:pPr>
      <w:r>
        <w:rPr>
          <w:rFonts w:ascii="Calibri" w:cs="Calibri" w:eastAsia="Calibri" w:hAnsi="Calibri"/>
          <w:sz w:val="22"/>
          <w:szCs w:val="22"/>
        </w:rPr>
        <w:t xml:space="preserve">Experimental study demonstrating that crisis managers are prone to significant confirmation bias when selecting information, even when aware of data bias. Shows that high cognitive load, limited resources, and urgency in crisis contexts induce biases in data processing and decision-making. Finds that adaptive management approaches can fail due to interplay of data and cognitive bias.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Connects information filtering concepts to cognitive load theory as mentioned in chapter description. Demonstrates how 'every piece of information routed to a decision-maker either supports or degrades their capacity to decide.' Provides evidence for when information filtering creates blind spots versus when it protects decision quality.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2026-02-20T05:43:06.162Z</dcterms:created>
  <dcterms:modified xsi:type="dcterms:W3CDTF">2026-02-20T05:43:06.162Z</dcterms:modified>
</cp:coreProperties>
</file>

<file path=docProps/custom.xml><?xml version="1.0" encoding="utf-8"?>
<Properties xmlns="http://schemas.openxmlformats.org/officeDocument/2006/custom-properties" xmlns:vt="http://schemas.openxmlformats.org/officeDocument/2006/docPropsVTypes"/>
</file>