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Speaking into the Void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academic grounding for the chapter's examination of crisis communication under conditions of incomplete information and high stakes. The theoretical framework draws primarily from Coombs' SCCT (2007) and the uncertainty communication literature (Sellnow et al., 2016), establishing that while best practices emphasize transparency and empathy, organizations consistently struggle with implementation when information is incomplete. The three failure cases—Fukushima (Funabashi &amp; Kitazawa, 2012), Grenfell Tower (Moore-Bick, 2019), and airline incidents (Ray, 1999)—provide concrete evidence of how evasive communication, information vacuums, and emotionally tone-deaf messaging destroy trust rapidly. These contrast sharply with the Thai cave rescue success, demonstrating that disciplined update cadence and empathetic messaging can maintain trust even during prolonged uncertainty. The empathy research (Schoofs et al., 2019) provides empirical validation for the 'empathy first' principle, showing it functions not as soft skill but as strategic necessity. The internal communication research (Frontiers, 2024) supports the chapter's critical distinction between internal and external messaging, demonstrating how crisis communication shapes team performance and information flow. Pedagogically, these sources enable students to: (1) understand the theoretical basis for crisis communication principles, (2) analyze concrete failures and successes across different crisis types, (3) extract operational principles that balance competing demands, and (4) diagnose specific communication failures that erode trust. The diversity of crisis types (nuclear disaster, building fire, cave rescue, airline incidents) ensures transferability of principles across contexts while maintaining focus on the universal challenge of speaking authoritatively when uncertainty dominates.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Sellnow, T. L., Lane, D., Littlefield, R. S., Sellnow, T. L., Wilson, B., Beauchamp, K., &amp; Venette, S. (2016). </w:t>
      </w:r>
      <w:r>
        <w:rPr>
          <w:rFonts w:ascii="Calibri" w:cs="Calibri" w:eastAsia="Calibri" w:hAnsi="Calibri"/>
          <w:i/>
          <w:iCs/>
          <w:sz w:val="22"/>
          <w:szCs w:val="22"/>
        </w:rPr>
        <w:t xml:space="preserve">Communicating crisis uncertainty: A review of the knowledge gaps</w:t>
      </w:r>
      <w:r>
        <w:rPr>
          <w:rFonts w:ascii="Calibri" w:cs="Calibri" w:eastAsia="Calibri" w:hAnsi="Calibri"/>
          <w:color w:val="666666"/>
          <w:sz w:val="20"/>
          <w:szCs w:val="20"/>
        </w:rPr>
        <w:t xml:space="preserve"> DOI: 10.1016/j.pubrev.2016.04.002</w:t>
      </w:r>
      <w:r>
        <w:rPr>
          <w:rFonts w:ascii="Calibri" w:cs="Calibri" w:eastAsia="Calibri" w:hAnsi="Calibri"/>
          <w:color w:val="336699"/>
          <w:sz w:val="20"/>
          <w:szCs w:val="20"/>
        </w:rPr>
        <w:t xml:space="preserve"> https://www.sciencedirect.com/science/article/abs/pii/S0363811116300327</w:t>
      </w:r>
    </w:p>
    <w:p>
      <w:pPr>
        <w:spacing w:after="40"/>
        <w:ind w:left="360"/>
      </w:pPr>
      <w:r>
        <w:rPr>
          <w:rFonts w:ascii="Calibri" w:cs="Calibri" w:eastAsia="Calibri" w:hAnsi="Calibri"/>
          <w:sz w:val="22"/>
          <w:szCs w:val="22"/>
        </w:rPr>
        <w:t xml:space="preserve">This systematic review examines how organizations should communicate during crises characterized by high uncertainty. The authors find that while best practices emphasize acknowledging uncertainty, empirical research on the intersection of uncertainty, crisis, and communication is lacking. The review demonstrates that crises create unique challenges when base knowledge about the situation is incomplete, yet stakeholders demand communication.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chapter's core challenge of 'speaking into the void' when information is incomplete. Provides theoretical grounding for the principle of 'transparency about uncertainty' - saying what you know, what you don't know, and when you will know more.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Funabashi, Y., &amp; Kitazawa, K. (2012). </w:t>
      </w:r>
      <w:r>
        <w:rPr>
          <w:rFonts w:ascii="Calibri" w:cs="Calibri" w:eastAsia="Calibri" w:hAnsi="Calibri"/>
          <w:i/>
          <w:iCs/>
          <w:sz w:val="22"/>
          <w:szCs w:val="22"/>
        </w:rPr>
        <w:t xml:space="preserve">Fukushima in review: A complex disaster, a disastrous response</w:t>
      </w:r>
      <w:r>
        <w:rPr>
          <w:rFonts w:ascii="Calibri" w:cs="Calibri" w:eastAsia="Calibri" w:hAnsi="Calibri"/>
          <w:color w:val="666666"/>
          <w:sz w:val="20"/>
          <w:szCs w:val="20"/>
        </w:rPr>
        <w:t xml:space="preserve"> DOI: 10.1177/0096340212440359</w:t>
      </w:r>
      <w:r>
        <w:rPr>
          <w:rFonts w:ascii="Calibri" w:cs="Calibri" w:eastAsia="Calibri" w:hAnsi="Calibri"/>
          <w:color w:val="336699"/>
          <w:sz w:val="20"/>
          <w:szCs w:val="20"/>
        </w:rPr>
        <w:t xml:space="preserve"> https://journals.sagepub.com/doi/10.1177/0096340212440359</w:t>
      </w:r>
    </w:p>
    <w:p>
      <w:pPr>
        <w:spacing w:after="40"/>
        <w:ind w:left="360"/>
      </w:pPr>
      <w:r>
        <w:rPr>
          <w:rFonts w:ascii="Calibri" w:cs="Calibri" w:eastAsia="Calibri" w:hAnsi="Calibri"/>
          <w:sz w:val="22"/>
          <w:szCs w:val="22"/>
        </w:rPr>
        <w:t xml:space="preserve">An independent investigation into TEPCO and Japanese government's response to the Fukushima nuclear disaster. The report documents systematic communication failures including delayed information sharing, evasive public statements, and the breakdown of trust. TEPCO took over two months to reveal the meltdown that occurred on the first day, and the government made no effective effort to educate or soothe the public about radiation levels.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one of the chapter's three failure cases. Documents how evasive and inconsistent public statements destroyed public trust within days, illustrating what happens when empathy and transparency principles are violated during a crisis with incomplete information.</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Moore-Bick, M. (Chair) (2019). </w:t>
      </w:r>
      <w:r>
        <w:rPr>
          <w:rFonts w:ascii="Calibri" w:cs="Calibri" w:eastAsia="Calibri" w:hAnsi="Calibri"/>
          <w:i/>
          <w:iCs/>
          <w:sz w:val="22"/>
          <w:szCs w:val="22"/>
        </w:rPr>
        <w:t xml:space="preserve">Grenfell Tower Inquiry: Phase 1 Report</w:t>
      </w:r>
      <w:r>
        <w:rPr>
          <w:rFonts w:ascii="Calibri" w:cs="Calibri" w:eastAsia="Calibri" w:hAnsi="Calibri"/>
          <w:color w:val="336699"/>
          <w:sz w:val="20"/>
          <w:szCs w:val="20"/>
        </w:rPr>
        <w:t xml:space="preserve"> https://www.grenfelltowerinquiry.org.uk/phase-1-report</w:t>
      </w:r>
    </w:p>
    <w:p>
      <w:pPr>
        <w:spacing w:after="40"/>
        <w:ind w:left="360"/>
      </w:pPr>
      <w:r>
        <w:rPr>
          <w:rFonts w:ascii="Calibri" w:cs="Calibri" w:eastAsia="Calibri" w:hAnsi="Calibri"/>
          <w:sz w:val="22"/>
          <w:szCs w:val="22"/>
        </w:rPr>
        <w:t xml:space="preserve">The official inquiry report identified massive communication and command challenges during the Grenfell Tower fire response. The report documents how chaotic communication links meant neither control room nor incident commanders knew whether rescue attempts had been made or their outcomes. The local council's emotionally tone-deaf response and failure to coordinate volunteer groups created a communication vacuum that eroded public trust.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Serves as the chapter's second failure case, illustrating the consequences of contradictory, delayed, and emotionally tone-deaf information. Demonstrates how communication vacuums during crisis are interpreted as 'hiding something' rather than 'nothing to report.'</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Multiple crisis communication practitioners and analysts (2018). </w:t>
      </w:r>
      <w:r>
        <w:rPr>
          <w:rFonts w:ascii="Calibri" w:cs="Calibri" w:eastAsia="Calibri" w:hAnsi="Calibri"/>
          <w:i/>
          <w:iCs/>
          <w:sz w:val="22"/>
          <w:szCs w:val="22"/>
        </w:rPr>
        <w:t xml:space="preserve">Crisis Communications Lessons Learned From Thailand Cave Rescue</w:t>
      </w:r>
      <w:r>
        <w:rPr>
          <w:rFonts w:ascii="Calibri" w:cs="Calibri" w:eastAsia="Calibri" w:hAnsi="Calibri"/>
          <w:color w:val="336699"/>
          <w:sz w:val="20"/>
          <w:szCs w:val="20"/>
        </w:rPr>
        <w:t xml:space="preserve"> https://lockreycommunications.com/lessons-learned-from-thailand-cave-rescue/</w:t>
      </w:r>
    </w:p>
    <w:p>
      <w:pPr>
        <w:spacing w:after="40"/>
        <w:ind w:left="360"/>
      </w:pPr>
      <w:r>
        <w:rPr>
          <w:rFonts w:ascii="Calibri" w:cs="Calibri" w:eastAsia="Calibri" w:hAnsi="Calibri"/>
          <w:sz w:val="22"/>
          <w:szCs w:val="22"/>
        </w:rPr>
        <w:t xml:space="preserve">Analysis of the Thai cave rescue's communication strategy during the 17-day international media siege. The response featured regular briefings regardless of new information availability, handwritten notes between families and trapped team members, privacy protections, and timely confirmation of setbacks. The messaging was handled with 'clinical efficiency' with no conflicting statements despite intense global scrutiny.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chapter's success case, demonstrating disciplined communication strategy that maintained public trust and operational security. Illustrates update cadence principle - regular communication even without major developments prevents speculation and maintains trust.</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Coombs, W. T. (2007). </w:t>
      </w:r>
      <w:r>
        <w:rPr>
          <w:rFonts w:ascii="Calibri" w:cs="Calibri" w:eastAsia="Calibri" w:hAnsi="Calibri"/>
          <w:i/>
          <w:iCs/>
          <w:sz w:val="22"/>
          <w:szCs w:val="22"/>
        </w:rPr>
        <w:t xml:space="preserve">Protecting Organization Reputations During a Crisis: The Development and Application of Situational Crisis Communication Theory</w:t>
      </w:r>
      <w:r>
        <w:rPr>
          <w:rFonts w:ascii="Calibri" w:cs="Calibri" w:eastAsia="Calibri" w:hAnsi="Calibri"/>
          <w:color w:val="666666"/>
          <w:sz w:val="20"/>
          <w:szCs w:val="20"/>
        </w:rPr>
        <w:t xml:space="preserve"> DOI: 10.1057/palgrave.crr.1550049</w:t>
      </w:r>
      <w:r>
        <w:rPr>
          <w:rFonts w:ascii="Calibri" w:cs="Calibri" w:eastAsia="Calibri" w:hAnsi="Calibri"/>
          <w:color w:val="336699"/>
          <w:sz w:val="20"/>
          <w:szCs w:val="20"/>
        </w:rPr>
        <w:t xml:space="preserve"> https://link.springer.com/article/10.1057/palgrave.crr.1550049</w:t>
      </w:r>
    </w:p>
    <w:p>
      <w:pPr>
        <w:spacing w:after="40"/>
        <w:ind w:left="360"/>
      </w:pPr>
      <w:r>
        <w:rPr>
          <w:rFonts w:ascii="Calibri" w:cs="Calibri" w:eastAsia="Calibri" w:hAnsi="Calibri"/>
          <w:sz w:val="22"/>
          <w:szCs w:val="22"/>
        </w:rPr>
        <w:t xml:space="preserve">Foundational paper presenting Situational Crisis Communication Theory (SCCT), an evidence-based framework for crisis communication. SCCT provides guidelines for matching crisis response strategies to crisis types based on attribution of responsibility. The theory emphasizes that post-crisis communication can repair reputation or prevent reputational damage through strategic response selection.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theoretical foundation for crisis communication principles discussed in the chapter. SCCT's emphasis on responsibility, timing, and strategic response selection informs the chapter's framework for balancing legal, emotional, and operational demands in crisis messaging.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Schoofs, L., Claeys, A. S., De Waele, A., &amp; Cauberghe, V. (2019). </w:t>
      </w:r>
      <w:r>
        <w:rPr>
          <w:rFonts w:ascii="Calibri" w:cs="Calibri" w:eastAsia="Calibri" w:hAnsi="Calibri"/>
          <w:i/>
          <w:iCs/>
          <w:sz w:val="22"/>
          <w:szCs w:val="22"/>
        </w:rPr>
        <w:t xml:space="preserve">The role of empathy in crisis communication: Providing a deeper understanding of how organizational crises and crisis communication affect reputation</w:t>
      </w:r>
      <w:r>
        <w:rPr>
          <w:rFonts w:ascii="Calibri" w:cs="Calibri" w:eastAsia="Calibri" w:hAnsi="Calibri"/>
          <w:color w:val="666666"/>
          <w:sz w:val="20"/>
          <w:szCs w:val="20"/>
        </w:rPr>
        <w:t xml:space="preserve"> DOI: 10.1016/j.pubrev.2019.101837</w:t>
      </w:r>
      <w:r>
        <w:rPr>
          <w:rFonts w:ascii="Calibri" w:cs="Calibri" w:eastAsia="Calibri" w:hAnsi="Calibri"/>
          <w:color w:val="336699"/>
          <w:sz w:val="20"/>
          <w:szCs w:val="20"/>
        </w:rPr>
        <w:t xml:space="preserve"> https://www.sciencedirect.com/science/article/abs/pii/S0363811119301833</w:t>
      </w:r>
    </w:p>
    <w:p>
      <w:pPr>
        <w:spacing w:after="40"/>
        <w:ind w:left="360"/>
      </w:pPr>
      <w:r>
        <w:rPr>
          <w:rFonts w:ascii="Calibri" w:cs="Calibri" w:eastAsia="Calibri" w:hAnsi="Calibri"/>
          <w:sz w:val="22"/>
          <w:szCs w:val="22"/>
        </w:rPr>
        <w:t xml:space="preserve">Three experimental studies demonstrating that stakeholder empathy toward an organization provides a critical explanation for crisis outcomes beyond responsibility attribution. Shows that victim crises inflict less reputational damage partly because stakeholders empathize with the company. Corporate apologies repair reputation through an intermediate effect on empathy.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the chapter's 'empathy first' principle. Demonstrates that empathy is not just a complementary aspect but a strategic necessity in crisis communication, directly supporting the chapter's focus on 'what are people feeling and fearing?'</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authors in Frontiers in Communication (2024). </w:t>
      </w:r>
      <w:r>
        <w:rPr>
          <w:rFonts w:ascii="Calibri" w:cs="Calibri" w:eastAsia="Calibri" w:hAnsi="Calibri"/>
          <w:i/>
          <w:iCs/>
          <w:sz w:val="22"/>
          <w:szCs w:val="22"/>
        </w:rPr>
        <w:t xml:space="preserve">Internal crisis communication: exploring antecedents and consequences from a managerial viewpoint</w:t>
      </w:r>
      <w:r>
        <w:rPr>
          <w:rFonts w:ascii="Calibri" w:cs="Calibri" w:eastAsia="Calibri" w:hAnsi="Calibri"/>
          <w:color w:val="666666"/>
          <w:sz w:val="20"/>
          <w:szCs w:val="20"/>
        </w:rPr>
        <w:t xml:space="preserve"> DOI: 10.3389/fcomm.2024.1444114</w:t>
      </w:r>
      <w:r>
        <w:rPr>
          <w:rFonts w:ascii="Calibri" w:cs="Calibri" w:eastAsia="Calibri" w:hAnsi="Calibri"/>
          <w:color w:val="336699"/>
          <w:sz w:val="20"/>
          <w:szCs w:val="20"/>
        </w:rPr>
        <w:t xml:space="preserve"> https://www.frontiersin.org/journals/communication/articles/10.3389/fcomm.2024.1444114/full</w:t>
      </w:r>
    </w:p>
    <w:p>
      <w:pPr>
        <w:spacing w:after="40"/>
        <w:ind w:left="360"/>
      </w:pPr>
      <w:r>
        <w:rPr>
          <w:rFonts w:ascii="Calibri" w:cs="Calibri" w:eastAsia="Calibri" w:hAnsi="Calibri"/>
          <w:sz w:val="22"/>
          <w:szCs w:val="22"/>
        </w:rPr>
        <w:t xml:space="preserve">Research examining how internal crisis communication builds trust, reduces uncertainty, and maintains employee morale during crises. Effective internal communication addresses both informational and emotional needs of employees. The study demonstrates that transparent and timely communication helps employees feel supported and engaged during challenging times.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distinction between internal and external crisis communication. Demonstrates how messages leaders send to their teams during crisis shape team performance, morale, and information flow, connecting to Chapter 4's information hierarchy and Chapter 6's team resilience.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Ray, S. J. (1999). </w:t>
      </w:r>
      <w:r>
        <w:rPr>
          <w:rFonts w:ascii="Calibri" w:cs="Calibri" w:eastAsia="Calibri" w:hAnsi="Calibri"/>
          <w:i/>
          <w:iCs/>
          <w:sz w:val="22"/>
          <w:szCs w:val="22"/>
        </w:rPr>
        <w:t xml:space="preserve">Strategic Communication in Crisis Management: Lessons from the Airline Industry</w:t>
      </w:r>
      <w:r>
        <w:rPr>
          <w:rFonts w:ascii="Calibri" w:cs="Calibri" w:eastAsia="Calibri" w:hAnsi="Calibri"/>
          <w:color w:val="336699"/>
          <w:sz w:val="20"/>
          <w:szCs w:val="20"/>
        </w:rPr>
        <w:t xml:space="preserve"> https://www.amazon.com/Strategic-Communication-Crisis-Management-Industry/dp/1567201539</w:t>
      </w:r>
    </w:p>
    <w:p>
      <w:pPr>
        <w:spacing w:after="40"/>
        <w:ind w:left="360"/>
      </w:pPr>
      <w:r>
        <w:rPr>
          <w:rFonts w:ascii="Calibri" w:cs="Calibri" w:eastAsia="Calibri" w:hAnsi="Calibri"/>
          <w:sz w:val="22"/>
          <w:szCs w:val="22"/>
        </w:rPr>
        <w:t xml:space="preserve">Comprehensive examination of airline industry crisis communication through case studies of major disasters. Analyzes the three-stage crisis model (pre-crisis, crisis, post-crisis) and evaluates communication strategies used by airlines. The book demonstrates how technical precision and public empathy collide in airline incident communications, with detailed analysis of successful and failed responses.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empirical foundation for the chapter's discussion of airline incident communications where technical precision and public empathy collide. Offers real-world examples of the tensions between legal constraints, operational realities, and emotional stakeholder needs.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2026-02-20T05:43:07.167Z</dcterms:created>
  <dcterms:modified xsi:type="dcterms:W3CDTF">2026-02-20T05:43:07.167Z</dcterms:modified>
</cp:coreProperties>
</file>

<file path=docProps/custom.xml><?xml version="1.0" encoding="utf-8"?>
<Properties xmlns="http://schemas.openxmlformats.org/officeDocument/2006/custom-properties" xmlns:vt="http://schemas.openxmlformats.org/officeDocument/2006/docPropsVTypes"/>
</file>