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The Long Night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a robust evidence base for 'The Long Night' chapter's examination of prolonged crisis operations. The theoretical foundations come from Klein's RPD model and cognitive load theory (Paas &amp; van Merriënboer, 2020; Klein et al., 1989-2004), which explain the cognitive mechanisms underlying decision degradation. Empirical evidence from recent studies (Frontiers 2025; Nature 2022) demonstrates measurable decline in decision quality under fatigue, including increased conservatism, reduced attention, and impaired cognitive control. The shift handover literature (PMC 2020) provides concrete protocols for maintaining information continuity—a critical operational challenge when teams rotate through extended responses. Weick's sensemaking framework (Maitlis &amp; Sonenshein, 2010) explains how collective understanding fragments across shift changes when team members carry different mental models. The burnout and leadership resilience literature (Uccheddu 2025; Control Risks 2020) addresses the invisible strain on senior leaders and provides evidence-based structural interventions: shift rotation, deliberate rest protocols, task dispersion, and psychological safety that allows team members to acknowledge when they are not fit to decide. Key pedagogical takeaways include: (1) decision degradation follows predictable patterns related to time-on-task and cumulative cognitive load; (2) expert pattern recognition fails systematically under fatigue; (3) information continuity requires structured handover protocols, not informal communication; (4) sustainable operations demand designed rhythms, not heroic endurance; (5) psychological safety to acknowledge impairment is a structural requirement, not a cultural nicety. The Thai cave rescue (17 days), Fukushima response (months), and Australian bushfires (5 months) serve as real-world validation of these principles, though direct academic analyses of these specific events remain limited in peer-reviewed literature.</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Multiple authors (2025). </w:t>
      </w:r>
      <w:r>
        <w:rPr>
          <w:rFonts w:ascii="Calibri" w:cs="Calibri" w:eastAsia="Calibri" w:hAnsi="Calibri"/>
          <w:i/>
          <w:iCs/>
          <w:sz w:val="22"/>
          <w:szCs w:val="22"/>
        </w:rPr>
        <w:t xml:space="preserve">An integrative review on unveiling the causes and effects of decision fatigue to develop a multi-domain conceptual framework</w:t>
      </w:r>
      <w:r>
        <w:rPr>
          <w:rFonts w:ascii="Calibri" w:cs="Calibri" w:eastAsia="Calibri" w:hAnsi="Calibri"/>
          <w:color w:val="666666"/>
          <w:sz w:val="20"/>
          <w:szCs w:val="20"/>
        </w:rPr>
        <w:t xml:space="preserve"> DOI: 10.3389/fcogn.2025.1719312</w:t>
      </w:r>
      <w:r>
        <w:rPr>
          <w:rFonts w:ascii="Calibri" w:cs="Calibri" w:eastAsia="Calibri" w:hAnsi="Calibri"/>
          <w:color w:val="336699"/>
          <w:sz w:val="20"/>
          <w:szCs w:val="20"/>
        </w:rPr>
        <w:t xml:space="preserve"> https://www.frontiersin.org/journals/cognition/articles/10.3389/fcogn.2025.1719312/full</w:t>
      </w:r>
    </w:p>
    <w:p>
      <w:pPr>
        <w:spacing w:after="40"/>
        <w:ind w:left="360"/>
      </w:pPr>
      <w:r>
        <w:rPr>
          <w:rFonts w:ascii="Calibri" w:cs="Calibri" w:eastAsia="Calibri" w:hAnsi="Calibri"/>
          <w:sz w:val="22"/>
          <w:szCs w:val="22"/>
        </w:rPr>
        <w:t xml:space="preserve">Comprehensive review of decision fatigue across multiple domains including healthcare, aviation, and emergency response. Documents how decision fatigue refers to deteriorating quality of decisions following prolonged decision-making periods, with increased risk in high-stakes environments. Notes that decision fatigue increases as shifts progress and can result in stress, burnout, and PTSD.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cognitive fatigue and decision degradation over time in crisis operations. Provides evidence for how decision quality deteriorates during extended operations and recommends allocating cognitively demanding tasks to periods when personnel are most alert.</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Multiple authors (2022). </w:t>
      </w:r>
      <w:r>
        <w:rPr>
          <w:rFonts w:ascii="Calibri" w:cs="Calibri" w:eastAsia="Calibri" w:hAnsi="Calibri"/>
          <w:i/>
          <w:iCs/>
          <w:sz w:val="22"/>
          <w:szCs w:val="22"/>
        </w:rPr>
        <w:t xml:space="preserve">Effects of mental fatigue on risk preference and feedback processing in risk decision-making</w:t>
      </w:r>
      <w:r>
        <w:rPr>
          <w:rFonts w:ascii="Calibri" w:cs="Calibri" w:eastAsia="Calibri" w:hAnsi="Calibri"/>
          <w:color w:val="666666"/>
          <w:sz w:val="20"/>
          <w:szCs w:val="20"/>
        </w:rPr>
        <w:t xml:space="preserve"> DOI: 10.1038/s41598-022-14682-0</w:t>
      </w:r>
      <w:r>
        <w:rPr>
          <w:rFonts w:ascii="Calibri" w:cs="Calibri" w:eastAsia="Calibri" w:hAnsi="Calibri"/>
          <w:color w:val="336699"/>
          <w:sz w:val="20"/>
          <w:szCs w:val="20"/>
        </w:rPr>
        <w:t xml:space="preserve"> https://www.nature.com/articles/s41598-022-14682-0</w:t>
      </w:r>
    </w:p>
    <w:p>
      <w:pPr>
        <w:spacing w:after="40"/>
        <w:ind w:left="360"/>
      </w:pPr>
      <w:r>
        <w:rPr>
          <w:rFonts w:ascii="Calibri" w:cs="Calibri" w:eastAsia="Calibri" w:hAnsi="Calibri"/>
          <w:sz w:val="22"/>
          <w:szCs w:val="22"/>
        </w:rPr>
        <w:t xml:space="preserve">Experimental study demonstrating that mental fatigue impairs selective attention, weakens cognitive control, and decreases high-level information processing. Found that individuals with mental fatigue tend to be more risk-averse and make more conservative choices. Mental fatigue occurs after prolonged cognitive activity and is accompanied by declines in capacity and efficiency of mental activities.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evidence for measurable decline in decision quality under fatigue. Supports the chapter's examination of cognitive fatigue mechanisms and how pattern recognition degrades under sustained operations.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Multiple authors (2020). </w:t>
      </w:r>
      <w:r>
        <w:rPr>
          <w:rFonts w:ascii="Calibri" w:cs="Calibri" w:eastAsia="Calibri" w:hAnsi="Calibri"/>
          <w:i/>
          <w:iCs/>
          <w:sz w:val="22"/>
          <w:szCs w:val="22"/>
        </w:rPr>
        <w:t xml:space="preserve">Development and implementation of a standardised emergency department intershift handover tool to improve physician communication</w:t>
      </w:r>
      <w:r>
        <w:rPr>
          <w:rFonts w:ascii="Calibri" w:cs="Calibri" w:eastAsia="Calibri" w:hAnsi="Calibri"/>
          <w:color w:val="336699"/>
          <w:sz w:val="20"/>
          <w:szCs w:val="20"/>
        </w:rPr>
        <w:t xml:space="preserve"> https://pmc.ncbi.nlm.nih.gov/articles/PMC7011887/</w:t>
      </w:r>
    </w:p>
    <w:p>
      <w:pPr>
        <w:spacing w:after="40"/>
        <w:ind w:left="360"/>
      </w:pPr>
      <w:r>
        <w:rPr>
          <w:rFonts w:ascii="Calibri" w:cs="Calibri" w:eastAsia="Calibri" w:hAnsi="Calibri"/>
          <w:sz w:val="22"/>
          <w:szCs w:val="22"/>
        </w:rPr>
        <w:t xml:space="preserve">Quality improvement study in an academic hospital Emergency Department developing and implementing an ED-specific handover tool. Achieved sustained improvements in proportion of adequate handovers from baseline 50% to 83% over 13 months. Written communication of handover information increased from 19.2% to 68.7%. Study emphasizes handover as high-risk area for medical errors and importance of structured communication.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shift handover and information continuity in prolonged emergency operations. Provides evidence-based framework for handover protocols that maintain information continuity across shift changes.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Gary A. Klein, Roberta Calderwood, Anne Clinton-Cirocco (1989-2004). </w:t>
      </w:r>
      <w:r>
        <w:rPr>
          <w:rFonts w:ascii="Calibri" w:cs="Calibri" w:eastAsia="Calibri" w:hAnsi="Calibri"/>
          <w:i/>
          <w:iCs/>
          <w:sz w:val="22"/>
          <w:szCs w:val="22"/>
        </w:rPr>
        <w:t xml:space="preserve">Recognition-Primed Decision (RPD) Model</w:t>
      </w:r>
      <w:r>
        <w:rPr>
          <w:rFonts w:ascii="Calibri" w:cs="Calibri" w:eastAsia="Calibri" w:hAnsi="Calibri"/>
          <w:color w:val="336699"/>
          <w:sz w:val="20"/>
          <w:szCs w:val="20"/>
        </w:rPr>
        <w:t xml:space="preserve"> https://www.gary-klein.com/rpd</w:t>
      </w:r>
    </w:p>
    <w:p>
      <w:pPr>
        <w:spacing w:after="40"/>
        <w:ind w:left="360"/>
      </w:pPr>
      <w:r>
        <w:rPr>
          <w:rFonts w:ascii="Calibri" w:cs="Calibri" w:eastAsia="Calibri" w:hAnsi="Calibri"/>
          <w:sz w:val="22"/>
          <w:szCs w:val="22"/>
        </w:rPr>
        <w:t xml:space="preserve">Foundational model explaining how experienced decision-makers use pattern recognition to generate plausible courses of action without comparing multiple options. RPD involves two loops: pattern matching (recognizing situation as familiar) and mental simulation (evaluating likely outcomes). Model emphasizes that experience is crucial for effective decisions in complex situations, but requires extensive experience to correctly recognize salient features.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Core theoretical framework retrieved in chapter for examining how pattern recognition degrades under fatigue. Explains how experienced professionals may match to wrong patterns or fail to notice when conditions have changed during prolonged operations.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Fred Paas, Jeroen J. G. van Merriënboer (2020). </w:t>
      </w:r>
      <w:r>
        <w:rPr>
          <w:rFonts w:ascii="Calibri" w:cs="Calibri" w:eastAsia="Calibri" w:hAnsi="Calibri"/>
          <w:i/>
          <w:iCs/>
          <w:sz w:val="22"/>
          <w:szCs w:val="22"/>
        </w:rPr>
        <w:t xml:space="preserve">Cognitive-Load Theory: Methods to Manage Working Memory Load in the Learning of Complex Tasks</w:t>
      </w:r>
      <w:r>
        <w:rPr>
          <w:rFonts w:ascii="Calibri" w:cs="Calibri" w:eastAsia="Calibri" w:hAnsi="Calibri"/>
          <w:color w:val="666666"/>
          <w:sz w:val="20"/>
          <w:szCs w:val="20"/>
        </w:rPr>
        <w:t xml:space="preserve"> DOI: 10.1177/0963721420922183</w:t>
      </w:r>
      <w:r>
        <w:rPr>
          <w:rFonts w:ascii="Calibri" w:cs="Calibri" w:eastAsia="Calibri" w:hAnsi="Calibri"/>
          <w:color w:val="336699"/>
          <w:sz w:val="20"/>
          <w:szCs w:val="20"/>
        </w:rPr>
        <w:t xml:space="preserve"> https://journals.sagepub.com/doi/full/10.1177/0963721420922183</w:t>
      </w:r>
    </w:p>
    <w:p>
      <w:pPr>
        <w:spacing w:after="40"/>
        <w:ind w:left="360"/>
      </w:pPr>
      <w:r>
        <w:rPr>
          <w:rFonts w:ascii="Calibri" w:cs="Calibri" w:eastAsia="Calibri" w:hAnsi="Calibri"/>
          <w:sz w:val="22"/>
          <w:szCs w:val="22"/>
        </w:rPr>
        <w:t xml:space="preserve">Reviews cognitive load theory and methods to optimize performance in complex tasks. Emphasizes that working memory has finite capacity and environmental factors (stress, negative emotions, uncertainty) deplete WM resources. Empirical studies show environmental stimuli and stressful situations consume working memory resources. Stress in high-stakes situations causes intrusive worries that consume WM capacity.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cognitive load framework for examining how cumulative stress narrows attention and reduces working memory capacity during sustained crisis response. Explains mechanisms by which prolonged operations degrade complex judgment.</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Sally Maitlis, Scott Sonenshein (2010). </w:t>
      </w:r>
      <w:r>
        <w:rPr>
          <w:rFonts w:ascii="Calibri" w:cs="Calibri" w:eastAsia="Calibri" w:hAnsi="Calibri"/>
          <w:i/>
          <w:iCs/>
          <w:sz w:val="22"/>
          <w:szCs w:val="22"/>
        </w:rPr>
        <w:t xml:space="preserve">Sensemaking in Crisis and Change: Inspiration and Insights From Weick (1988)</w:t>
      </w:r>
      <w:r>
        <w:rPr>
          <w:rFonts w:ascii="Calibri" w:cs="Calibri" w:eastAsia="Calibri" w:hAnsi="Calibri"/>
          <w:color w:val="666666"/>
          <w:sz w:val="20"/>
          <w:szCs w:val="20"/>
        </w:rPr>
        <w:t xml:space="preserve"> DOI: 10.1111/j.1467-6486.2010.00908.x</w:t>
      </w:r>
      <w:r>
        <w:rPr>
          <w:rFonts w:ascii="Calibri" w:cs="Calibri" w:eastAsia="Calibri" w:hAnsi="Calibri"/>
          <w:color w:val="336699"/>
          <w:sz w:val="20"/>
          <w:szCs w:val="20"/>
        </w:rPr>
        <w:t xml:space="preserve"> https://onlinelibrary.wiley.com/doi/full/10.1111/j.1467-6486.2010.00908.x</w:t>
      </w:r>
    </w:p>
    <w:p>
      <w:pPr>
        <w:spacing w:after="40"/>
        <w:ind w:left="360"/>
      </w:pPr>
      <w:r>
        <w:rPr>
          <w:rFonts w:ascii="Calibri" w:cs="Calibri" w:eastAsia="Calibri" w:hAnsi="Calibri"/>
          <w:sz w:val="22"/>
          <w:szCs w:val="22"/>
        </w:rPr>
        <w:t xml:space="preserve">Comprehensive review of Weick's sensemaking research in crisis contexts. Examines challenges facing groups trying to generate shared understandings and coordinated action in fast-moving, frightening conditions. Emphasizes that collective sensemaking involves shared meanings and emotions. Documents how individuals' early public evaluations shape sensemaking by preventing bracketing of contradictory cues, and how collective sensemaking can both aid and hinder adaptation.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theoretical foundation for examining how team's shared understanding degrades when members rotate through shifts with different mental models. Addresses collective sensemaking processes central to maintaining operational continuity during prolonged crisis.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Uccheddu et al. (2025). </w:t>
      </w:r>
      <w:r>
        <w:rPr>
          <w:rFonts w:ascii="Calibri" w:cs="Calibri" w:eastAsia="Calibri" w:hAnsi="Calibri"/>
          <w:i/>
          <w:iCs/>
          <w:sz w:val="22"/>
          <w:szCs w:val="22"/>
        </w:rPr>
        <w:t xml:space="preserve">Burnout and resilience in emergency medicine health professionals</w:t>
      </w:r>
      <w:r>
        <w:rPr>
          <w:rFonts w:ascii="Calibri" w:cs="Calibri" w:eastAsia="Calibri" w:hAnsi="Calibri"/>
          <w:color w:val="666666"/>
          <w:sz w:val="20"/>
          <w:szCs w:val="20"/>
        </w:rPr>
        <w:t xml:space="preserve"> DOI: 10.1007/s11739-025-04142-8</w:t>
      </w:r>
      <w:r>
        <w:rPr>
          <w:rFonts w:ascii="Calibri" w:cs="Calibri" w:eastAsia="Calibri" w:hAnsi="Calibri"/>
          <w:color w:val="336699"/>
          <w:sz w:val="20"/>
          <w:szCs w:val="20"/>
        </w:rPr>
        <w:t xml:space="preserve"> https://link.springer.com/article/10.1007/s11739-025-04142-8</w:t>
      </w:r>
    </w:p>
    <w:p>
      <w:pPr>
        <w:spacing w:after="40"/>
        <w:ind w:left="360"/>
      </w:pPr>
      <w:r>
        <w:rPr>
          <w:rFonts w:ascii="Calibri" w:cs="Calibri" w:eastAsia="Calibri" w:hAnsi="Calibri"/>
          <w:sz w:val="22"/>
          <w:szCs w:val="22"/>
        </w:rPr>
        <w:t xml:space="preserve">Review examining burnout prevalence and contributing factors among emergency physicians who face high-stress environments, rapid decision-making, long shifts, and limited resources. Burnout rates exceed 70% in some regions. Key organizational factors include increased workload, poor collegial relationships, and work-life conflict. Emphasizes importance of personal and system resilience. Proposed interventions include improving shift length and scheduling, managing workload, reducing bureaucratic tasks.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Addresses leader and team burnout during sustained pressure. Provides evidence for structural interventions including shift design and workload management to sustain team resilience in prolonged operations.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Shawn VanSlyke, Kimberly Brunell, Andre Simons (Control Risks) (2020). </w:t>
      </w:r>
      <w:r>
        <w:rPr>
          <w:rFonts w:ascii="Calibri" w:cs="Calibri" w:eastAsia="Calibri" w:hAnsi="Calibri"/>
          <w:i/>
          <w:iCs/>
          <w:sz w:val="22"/>
          <w:szCs w:val="22"/>
        </w:rPr>
        <w:t xml:space="preserve">Leadership in the COVID crisis: The importance of building personal resilience</w:t>
      </w:r>
      <w:r>
        <w:rPr>
          <w:rFonts w:ascii="Calibri" w:cs="Calibri" w:eastAsia="Calibri" w:hAnsi="Calibri"/>
          <w:color w:val="336699"/>
          <w:sz w:val="20"/>
          <w:szCs w:val="20"/>
        </w:rPr>
        <w:t xml:space="preserve"> https://www.controlrisks.com/our-thinking/insights/leadership-in-the-covid-crisis</w:t>
      </w:r>
    </w:p>
    <w:p>
      <w:pPr>
        <w:spacing w:after="40"/>
        <w:ind w:left="360"/>
      </w:pPr>
      <w:r>
        <w:rPr>
          <w:rFonts w:ascii="Calibri" w:cs="Calibri" w:eastAsia="Calibri" w:hAnsi="Calibri"/>
          <w:sz w:val="22"/>
          <w:szCs w:val="22"/>
        </w:rPr>
        <w:t xml:space="preserve">Examines leadership during prolonged crisis, emphasizing that leaders who thrive during temporary crises can struggle to sustain personal fortitude during prolonged crises. Discusses adaptive capacity and need for leaders to model self-care and demonstrate importance of rest and recovery. Recommends dividing crisis management teams into shifts for prolonged events, dispersing tasks, and preserving energy. Notes that stepping away from work requires appointing trusted deputies and creating psychological safety.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leader self-management under sustained pressure and the challenge of leaders feeling they cannot step away. Provides practical framework for sustainable operational rhythms during extended crisis response.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2026-02-20T05:43:11.711Z</dcterms:created>
  <dcterms:modified xsi:type="dcterms:W3CDTF">2026-02-20T05:43:11.711Z</dcterms:modified>
</cp:coreProperties>
</file>

<file path=docProps/custom.xml><?xml version="1.0" encoding="utf-8"?>
<Properties xmlns="http://schemas.openxmlformats.org/officeDocument/2006/custom-properties" xmlns:vt="http://schemas.openxmlformats.org/officeDocument/2006/docPropsVTypes"/>
</file>