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After the Smoke Clears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theoretical frameworks, practical methodologies, and empirical case studies necessary to support the chapter's examination of post-crisis organizational learning. Dekker's just culture work (sources 1-2) establishes the foundational argument against blame-focused accountability, while Reason's Swiss Cheese model (sources 3-4) provides the analytical framework for understanding systemic failure. Aviation safety literature (sources 5, 10) demonstrates gold-standard investigation methodology and reveals that even exemplar industries struggle with learning from incidents. The hindsight bias literature (source 6) addresses a critical methodological challenge in retrospective analysis, while sensemaking theory (source 7) explains how post-incident narratives are constructed and contested. The Grenfell and Fukushima case studies (sources 8-9) provide concrete examples of inquiry processes that reveal both systemic failures and the political dimensions of post-crisis accountability. Together, these sources enable students to understand why most organizations fail to learn from crisis, what distinguishes effective from performative post-incident reviews, and how to design processes that produce genuine organizational change rather than scapegoating and shelf-filling reports. The synthesis reveals that effective post-crisis learning requires: (1) just culture frameworks that separate systemic from individual factors, (2) methodologies that guard against hindsight bias, (3) non-punitive reporting that surfaces latent failures, (4) sensemaking processes that resist simplistic narratives, and (5) organizational commitment to implementing findings rather than merely documenting them.</w:t>
      </w:r>
    </w:p>
    <w:p>
      <w:pPr>
        <w:pStyle w:val="Heading2"/>
        <w:spacing w:before="200" w:after="120"/>
      </w:pPr>
      <w:r>
        <w:rPr>
          <w:rFonts w:ascii="Calibri" w:cs="Calibri" w:eastAsia="Calibri" w:hAnsi="Calibri"/>
          <w:b/>
          <w:bCs/>
          <w:sz w:val="24"/>
          <w:szCs w:val="24"/>
        </w:rPr>
        <w:t xml:space="preserve">Sources (10)</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Sidney Dekker (2012). </w:t>
      </w:r>
      <w:r>
        <w:rPr>
          <w:rFonts w:ascii="Calibri" w:cs="Calibri" w:eastAsia="Calibri" w:hAnsi="Calibri"/>
          <w:i/>
          <w:iCs/>
          <w:sz w:val="22"/>
          <w:szCs w:val="22"/>
        </w:rPr>
        <w:t xml:space="preserve">Just Culture: Balancing Safety and Accountability (2nd Edition)</w:t>
      </w:r>
      <w:r>
        <w:rPr>
          <w:rFonts w:ascii="Calibri" w:cs="Calibri" w:eastAsia="Calibri" w:hAnsi="Calibri"/>
          <w:color w:val="666666"/>
          <w:sz w:val="20"/>
          <w:szCs w:val="20"/>
        </w:rPr>
        <w:t xml:space="preserve"> DOI: 10.4324/9781315251271</w:t>
      </w:r>
      <w:r>
        <w:rPr>
          <w:rFonts w:ascii="Calibri" w:cs="Calibri" w:eastAsia="Calibri" w:hAnsi="Calibri"/>
          <w:color w:val="336699"/>
          <w:sz w:val="20"/>
          <w:szCs w:val="20"/>
        </w:rPr>
        <w:t xml:space="preserve"> https://www.taylorfrancis.com/books/mono/10.4324/9781315251271/culture-sidney-dekker</w:t>
      </w:r>
    </w:p>
    <w:p>
      <w:pPr>
        <w:spacing w:after="40"/>
        <w:ind w:left="360"/>
      </w:pPr>
      <w:r>
        <w:rPr>
          <w:rFonts w:ascii="Calibri" w:cs="Calibri" w:eastAsia="Calibri" w:hAnsi="Calibri"/>
          <w:sz w:val="22"/>
          <w:szCs w:val="22"/>
        </w:rPr>
        <w:t xml:space="preserve">Dekker's seminal work establishes the just culture framework, arguing that organizational accidents require balancing accountability with learning. The book challenges the default blame response, demonstrating that punishing individuals drives error reporting underground and ensures systemic conditions remain in place. Dekker introduces the concept of restorative versus retributive justice and addresses the 'second victim' - professionals at the center of incidents who also need support.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text for the chapter's central framework. Dekker's distinction between honest mistakes, at-risk behavior, and reckless violations provides the analytical structure for post-incident accountability decisions. The book directly addresses the chapter's core argument about why blame-focused responses are both unjust and dangerous to organizational safety.</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Sidney W. A. Dekker (2008). </w:t>
      </w:r>
      <w:r>
        <w:rPr>
          <w:rFonts w:ascii="Calibri" w:cs="Calibri" w:eastAsia="Calibri" w:hAnsi="Calibri"/>
          <w:i/>
          <w:iCs/>
          <w:sz w:val="22"/>
          <w:szCs w:val="22"/>
        </w:rPr>
        <w:t xml:space="preserve">Just culture: who gets to draw the line?</w:t>
      </w:r>
      <w:r>
        <w:rPr>
          <w:rFonts w:ascii="Calibri" w:cs="Calibri" w:eastAsia="Calibri" w:hAnsi="Calibri"/>
          <w:color w:val="666666"/>
          <w:sz w:val="20"/>
          <w:szCs w:val="20"/>
        </w:rPr>
        <w:t xml:space="preserve"> DOI: 10.1007/s10111-008-0110-7</w:t>
      </w:r>
      <w:r>
        <w:rPr>
          <w:rFonts w:ascii="Calibri" w:cs="Calibri" w:eastAsia="Calibri" w:hAnsi="Calibri"/>
          <w:color w:val="336699"/>
          <w:sz w:val="20"/>
          <w:szCs w:val="20"/>
        </w:rPr>
        <w:t xml:space="preserve"> https://www.humanfactors.lth.se/fileadmin/lusa/Sidney_Dekker/articles/2008/JustCultureCTW.pdf</w:t>
      </w:r>
    </w:p>
    <w:p>
      <w:pPr>
        <w:spacing w:after="40"/>
        <w:ind w:left="360"/>
      </w:pPr>
      <w:r>
        <w:rPr>
          <w:rFonts w:ascii="Calibri" w:cs="Calibri" w:eastAsia="Calibri" w:hAnsi="Calibri"/>
          <w:sz w:val="22"/>
          <w:szCs w:val="22"/>
        </w:rPr>
        <w:t xml:space="preserve">This journal article examines the fundamental question of who determines culpability in organizational failures. Dekker demonstrates that culpability does not inhere in the act itself but is the outcome of interpretation and attribution processes that follow. The paper challenges the notion that violations can be easily identified and argues that adaptations labeled as 'violations' often reflect operational dilemmas faced by practitioners.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for the chapter's examination of the political nature of blame attribution. This paper provides the theoretical basis for understanding how post-incident reviews become sites of contested interpretation, and why the question of 'who draws the line' is fundamentally about organizational power and learning culture.</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James Reason (1990). </w:t>
      </w:r>
      <w:r>
        <w:rPr>
          <w:rFonts w:ascii="Calibri" w:cs="Calibri" w:eastAsia="Calibri" w:hAnsi="Calibri"/>
          <w:i/>
          <w:iCs/>
          <w:sz w:val="22"/>
          <w:szCs w:val="22"/>
        </w:rPr>
        <w:t xml:space="preserve">Human Error</w:t>
      </w:r>
      <w:r>
        <w:rPr>
          <w:rFonts w:ascii="Calibri" w:cs="Calibri" w:eastAsia="Calibri" w:hAnsi="Calibri"/>
          <w:color w:val="336699"/>
          <w:sz w:val="20"/>
          <w:szCs w:val="20"/>
        </w:rPr>
        <w:t xml:space="preserve"> https://pmc.ncbi.nlm.nih.gov/articles/PMC8514562/</w:t>
      </w:r>
    </w:p>
    <w:p>
      <w:pPr>
        <w:spacing w:after="40"/>
        <w:ind w:left="360"/>
      </w:pPr>
      <w:r>
        <w:rPr>
          <w:rFonts w:ascii="Calibri" w:cs="Calibri" w:eastAsia="Calibri" w:hAnsi="Calibri"/>
          <w:sz w:val="22"/>
          <w:szCs w:val="22"/>
        </w:rPr>
        <w:t xml:space="preserve">Reason's foundational work introduces the Theory of Active and Latent Failures and the Swiss Cheese Model. The model conceptualizes organizational defenses as imperfect barriers (slices of cheese with holes) that align to allow accidents. Reason distinguishes between active failures (unsafe acts at the sharp end) and latent failures (organizational and systemic weaknesses) that lie dormant until they contribute to accidents.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the chapter's retrospective application of the Swiss Cheese model. The framework provides the analytical tool for tracing systemic conditions that aligned to produce crisis without falling into hindsight bias. The model's emphasis on multiple contributing factors across organizational levels supports the chapter's argument against individual blame.</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Douglas A. Wiegmann, Scott A. Shappell (2019). </w:t>
      </w:r>
      <w:r>
        <w:rPr>
          <w:rFonts w:ascii="Calibri" w:cs="Calibri" w:eastAsia="Calibri" w:hAnsi="Calibri"/>
          <w:i/>
          <w:iCs/>
          <w:sz w:val="22"/>
          <w:szCs w:val="22"/>
        </w:rPr>
        <w:t xml:space="preserve">Understanding the 'Swiss Cheese Model' and Its Application to Patient Safety</w:t>
      </w:r>
      <w:r>
        <w:rPr>
          <w:rFonts w:ascii="Calibri" w:cs="Calibri" w:eastAsia="Calibri" w:hAnsi="Calibri"/>
          <w:color w:val="336699"/>
          <w:sz w:val="20"/>
          <w:szCs w:val="20"/>
        </w:rPr>
        <w:t xml:space="preserve"> https://pmc.ncbi.nlm.nih.gov/articles/PMC8514562/</w:t>
      </w:r>
    </w:p>
    <w:p>
      <w:pPr>
        <w:spacing w:after="40"/>
        <w:ind w:left="360"/>
      </w:pPr>
      <w:r>
        <w:rPr>
          <w:rFonts w:ascii="Calibri" w:cs="Calibri" w:eastAsia="Calibri" w:hAnsi="Calibri"/>
          <w:sz w:val="22"/>
          <w:szCs w:val="22"/>
        </w:rPr>
        <w:t xml:space="preserve">This paper provides comprehensive explanation of the Swiss Cheese Model's underlying theory, including the Human Factors Analysis and Classification System (HFACS). It clarifies common misunderstandings about the model, emphasizing that multiple active and latent failures at different levels typically interact to produce adverse events, and that the dynamic nature of 'holes' is often oversimplified in standard representations.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methodological framework for conducting systematic retrospective analysis using the Swiss Cheese model. The paper's discussion of HFACS offers practical tools for categorizing failures at organizational, supervisory, preconditions, and unsafe acts levels - directly supporting the chapter's focus on post-incident review mechanics.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Robert L. Helmreich (2000). </w:t>
      </w:r>
      <w:r>
        <w:rPr>
          <w:rFonts w:ascii="Calibri" w:cs="Calibri" w:eastAsia="Calibri" w:hAnsi="Calibri"/>
          <w:i/>
          <w:iCs/>
          <w:sz w:val="22"/>
          <w:szCs w:val="22"/>
        </w:rPr>
        <w:t xml:space="preserve">On error management: lessons from aviation</w:t>
      </w:r>
      <w:r>
        <w:rPr>
          <w:rFonts w:ascii="Calibri" w:cs="Calibri" w:eastAsia="Calibri" w:hAnsi="Calibri"/>
          <w:color w:val="666666"/>
          <w:sz w:val="20"/>
          <w:szCs w:val="20"/>
        </w:rPr>
        <w:t xml:space="preserve"> DOI: 10.1136/bmj.320.7237.781</w:t>
      </w:r>
      <w:r>
        <w:rPr>
          <w:rFonts w:ascii="Calibri" w:cs="Calibri" w:eastAsia="Calibri" w:hAnsi="Calibri"/>
          <w:color w:val="336699"/>
          <w:sz w:val="20"/>
          <w:szCs w:val="20"/>
        </w:rPr>
        <w:t xml:space="preserve"> https://pmc.ncbi.nlm.nih.gov/articles/PMC1117774/</w:t>
      </w:r>
    </w:p>
    <w:p>
      <w:pPr>
        <w:spacing w:after="40"/>
        <w:ind w:left="360"/>
      </w:pPr>
      <w:r>
        <w:rPr>
          <w:rFonts w:ascii="Calibri" w:cs="Calibri" w:eastAsia="Calibri" w:hAnsi="Calibri"/>
          <w:sz w:val="22"/>
          <w:szCs w:val="22"/>
        </w:rPr>
        <w:t xml:space="preserve">This influential paper examines aviation's systematic approach to error management, including standardized investigation methods, non-punitive incident reporting systems, and data dissemination. Helmreich outlines how aviation has developed mechanisms for organizational learning including LOSA observations and voluntary reporting systems that protect reporters from reprisal, enabling immediate corrective action while building a knowledge base for learning.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'gold standard' aviation methodology referenced in the chapter. Aviation's approach to learning from failure - including emphasis on systems over individuals, non-punitive reporting, and systematic investigation - serves as the benchmark for effective post-incident review. The paper demonstrates what genuine organizational learning looks like in practice.</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Kim Henriksen, Harry Kaplan (2003). </w:t>
      </w:r>
      <w:r>
        <w:rPr>
          <w:rFonts w:ascii="Calibri" w:cs="Calibri" w:eastAsia="Calibri" w:hAnsi="Calibri"/>
          <w:i/>
          <w:iCs/>
          <w:sz w:val="22"/>
          <w:szCs w:val="22"/>
        </w:rPr>
        <w:t xml:space="preserve">Hindsight bias, outcome knowledge and adaptive learning</w:t>
      </w:r>
      <w:r>
        <w:rPr>
          <w:rFonts w:ascii="Calibri" w:cs="Calibri" w:eastAsia="Calibri" w:hAnsi="Calibri"/>
          <w:color w:val="666666"/>
          <w:sz w:val="20"/>
          <w:szCs w:val="20"/>
        </w:rPr>
        <w:t xml:space="preserve"> DOI: 10.1136/qhc.12.suppl_2.ii46</w:t>
      </w:r>
      <w:r>
        <w:rPr>
          <w:rFonts w:ascii="Calibri" w:cs="Calibri" w:eastAsia="Calibri" w:hAnsi="Calibri"/>
          <w:color w:val="336699"/>
          <w:sz w:val="20"/>
          <w:szCs w:val="20"/>
        </w:rPr>
        <w:t xml:space="preserve"> https://pmc.ncbi.nlm.nih.gov/articles/PMC1765779/</w:t>
      </w:r>
    </w:p>
    <w:p>
      <w:pPr>
        <w:spacing w:after="40"/>
        <w:ind w:left="360"/>
      </w:pPr>
      <w:r>
        <w:rPr>
          <w:rFonts w:ascii="Calibri" w:cs="Calibri" w:eastAsia="Calibri" w:hAnsi="Calibri"/>
          <w:sz w:val="22"/>
          <w:szCs w:val="22"/>
        </w:rPr>
        <w:t xml:space="preserve">This paper examines the ubiquitous nature of hindsight bias in retrospective analysis of error and its implications for learning. The authors demonstrate that outcome knowledge biases thinking about process quality and that investigations anchored to outcomes risk not capturing complexities and uncertainties facing personnel at the time. The paper provides framework for reducing hindsight bias impact and promoting adaptive learning.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one of the chapter's key challenges: how to conduct retrospective analysis without hindsight bias distorting understanding of what actually happened. Essential for the section on how to interview participants without contaminating recall and how to distinguish between what was knowable at the time versus what is obvious in retrospect.</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Sally Maitlis, Scott Sonenshein (2010). </w:t>
      </w:r>
      <w:r>
        <w:rPr>
          <w:rFonts w:ascii="Calibri" w:cs="Calibri" w:eastAsia="Calibri" w:hAnsi="Calibri"/>
          <w:i/>
          <w:iCs/>
          <w:sz w:val="22"/>
          <w:szCs w:val="22"/>
        </w:rPr>
        <w:t xml:space="preserve">Sensemaking in Crisis and Change: Inspiration and Insights From Weick (1988)</w:t>
      </w:r>
      <w:r>
        <w:rPr>
          <w:rFonts w:ascii="Calibri" w:cs="Calibri" w:eastAsia="Calibri" w:hAnsi="Calibri"/>
          <w:color w:val="666666"/>
          <w:sz w:val="20"/>
          <w:szCs w:val="20"/>
        </w:rPr>
        <w:t xml:space="preserve"> DOI: 10.1111/j.1467-6486.2010.00908.x</w:t>
      </w:r>
      <w:r>
        <w:rPr>
          <w:rFonts w:ascii="Calibri" w:cs="Calibri" w:eastAsia="Calibri" w:hAnsi="Calibri"/>
          <w:color w:val="336699"/>
          <w:sz w:val="20"/>
          <w:szCs w:val="20"/>
        </w:rPr>
        <w:t xml:space="preserve"> https://onlinelibrary.wiley.com/doi/full/10.1111/j.1467-6486.2010.00908.x</w:t>
      </w:r>
    </w:p>
    <w:p>
      <w:pPr>
        <w:spacing w:after="40"/>
        <w:ind w:left="360"/>
      </w:pPr>
      <w:r>
        <w:rPr>
          <w:rFonts w:ascii="Calibri" w:cs="Calibri" w:eastAsia="Calibri" w:hAnsi="Calibri"/>
          <w:sz w:val="22"/>
          <w:szCs w:val="22"/>
        </w:rPr>
        <w:t xml:space="preserve">This paper reviews sensemaking research in crisis and change contexts, examining both how sensemaking unfolds during crisis and how sense is made retrospectively after crises. The authors analyze public inquiry processes and demonstrate how retrospective narratives can either illuminate or distort what happened. They identify shared meanings and emotion as core themes that enable more or less adaptive sensemaking in turbulent conditions.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theoretical foundation for the chapter's examination of how organizations construct retrospective narratives of crises. The paper's analysis of public inquiries as sites of organizational learning (or failure to learn) directly supports discussion of how post-incident reviews either produce genuine insight or become exercises in narrative construction that protects existing power structures.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Sir Martin Moore-Bick (Chair) (2024). </w:t>
      </w:r>
      <w:r>
        <w:rPr>
          <w:rFonts w:ascii="Calibri" w:cs="Calibri" w:eastAsia="Calibri" w:hAnsi="Calibri"/>
          <w:i/>
          <w:iCs/>
          <w:sz w:val="22"/>
          <w:szCs w:val="22"/>
        </w:rPr>
        <w:t xml:space="preserve">Grenfell Tower Inquiry Phase 2 Report</w:t>
      </w:r>
      <w:r>
        <w:rPr>
          <w:rFonts w:ascii="Calibri" w:cs="Calibri" w:eastAsia="Calibri" w:hAnsi="Calibri"/>
          <w:color w:val="336699"/>
          <w:sz w:val="20"/>
          <w:szCs w:val="20"/>
        </w:rPr>
        <w:t xml:space="preserve"> https://www.grenfelltowerinquiry.org.uk/</w:t>
      </w:r>
    </w:p>
    <w:p>
      <w:pPr>
        <w:spacing w:after="40"/>
        <w:ind w:left="360"/>
      </w:pPr>
      <w:r>
        <w:rPr>
          <w:rFonts w:ascii="Calibri" w:cs="Calibri" w:eastAsia="Calibri" w:hAnsi="Calibri"/>
          <w:sz w:val="22"/>
          <w:szCs w:val="22"/>
        </w:rPr>
        <w:t xml:space="preserve">The 1,700-page final report of the six-year public inquiry into the Grenfell Tower fire examines the chain of failures across government and private sector that led to the disaster. The report documents systemic failures in building regulations, fire safety standards, regulatory oversight, and corporate conduct. It identifies not a single cause but multiple acts and omissions combining to produce tragedy, and makes 46 recommendations embedded in 35 paragraphs addressing systemic reforms needed.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Serves as primary case study for examining what distinguishes reviews that produce genuine learning from those producing scapegoats. The Grenfell inquiry process demonstrates both the challenges of systemic failure analysis and the political dimensions of accountability. The report's explicit acknowledgment that no single cause can be identified exemplifies the complexity the chapter addresses.</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National Research Council (2014). </w:t>
      </w:r>
      <w:r>
        <w:rPr>
          <w:rFonts w:ascii="Calibri" w:cs="Calibri" w:eastAsia="Calibri" w:hAnsi="Calibri"/>
          <w:i/>
          <w:iCs/>
          <w:sz w:val="22"/>
          <w:szCs w:val="22"/>
        </w:rPr>
        <w:t xml:space="preserve">Lessons Learned from the Fukushima Nuclear Accident for Improving Safety of U.S. Nuclear Plants</w:t>
      </w:r>
      <w:r>
        <w:rPr>
          <w:rFonts w:ascii="Calibri" w:cs="Calibri" w:eastAsia="Calibri" w:hAnsi="Calibri"/>
          <w:color w:val="666666"/>
          <w:sz w:val="20"/>
          <w:szCs w:val="20"/>
        </w:rPr>
        <w:t xml:space="preserve"> DOI: 10.17226/18294</w:t>
      </w:r>
      <w:r>
        <w:rPr>
          <w:rFonts w:ascii="Calibri" w:cs="Calibri" w:eastAsia="Calibri" w:hAnsi="Calibri"/>
          <w:color w:val="336699"/>
          <w:sz w:val="20"/>
          <w:szCs w:val="20"/>
        </w:rPr>
        <w:t xml:space="preserve"> https://www.ncbi.nlm.nih.gov/books/NBK253938/</w:t>
      </w:r>
    </w:p>
    <w:p>
      <w:pPr>
        <w:spacing w:after="40"/>
        <w:ind w:left="360"/>
      </w:pPr>
      <w:r>
        <w:rPr>
          <w:rFonts w:ascii="Calibri" w:cs="Calibri" w:eastAsia="Calibri" w:hAnsi="Calibri"/>
          <w:sz w:val="22"/>
          <w:szCs w:val="22"/>
        </w:rPr>
        <w:t xml:space="preserve">This comprehensive report examines the Fukushima Daiichi accident and identifies lessons for improving nuclear safety. The report acknowledges the overwhelming challenges plant personnel faced and explicitly notes the difficulty of avoiding hindsight bias when reviewing accident response. It identifies deficient safety culture in both TEPCO and its regulators, including failure to take strong action on known risks and failure to learn from international experience.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second major case study for post-incident investigation methodology. The Fukushima investigations demonstrate both effective and ineffective approaches to learning from catastrophic failure. The report's discussion of safety culture deficiencies and organizational learning failures exemplifies the chapter's themes about how systemic conditions enable disaster and why cultural change is essential.</w:t>
      </w:r>
    </w:p>
    <w:p>
      <w:pPr>
        <w:spacing w:before="200" w:after="60"/>
      </w:pPr>
      <w:r>
        <w:rPr>
          <w:rFonts w:ascii="Calibri" w:cs="Calibri" w:eastAsia="Calibri" w:hAnsi="Calibri"/>
          <w:b/>
          <w:bCs/>
          <w:sz w:val="22"/>
          <w:szCs w:val="22"/>
        </w:rPr>
        <w:t xml:space="preserve">10. </w:t>
      </w:r>
      <w:r>
        <w:rPr>
          <w:rFonts w:ascii="Calibri" w:cs="Calibri" w:eastAsia="Calibri" w:hAnsi="Calibri"/>
          <w:b/>
          <w:bCs/>
          <w:sz w:val="22"/>
          <w:szCs w:val="22"/>
        </w:rPr>
        <w:t xml:space="preserve">Sebastian Sieberichs, Annette Kluge (2021). </w:t>
      </w:r>
      <w:r>
        <w:rPr>
          <w:rFonts w:ascii="Calibri" w:cs="Calibri" w:eastAsia="Calibri" w:hAnsi="Calibri"/>
          <w:i/>
          <w:iCs/>
          <w:sz w:val="22"/>
          <w:szCs w:val="22"/>
        </w:rPr>
        <w:t xml:space="preserve">Why Learning Opportunities From Aviation Incidents Are Lacking: The Impact of Active and Latent Failures and Confidential Reporting</w:t>
      </w:r>
      <w:r>
        <w:rPr>
          <w:rFonts w:ascii="Calibri" w:cs="Calibri" w:eastAsia="Calibri" w:hAnsi="Calibri"/>
          <w:color w:val="666666"/>
          <w:sz w:val="20"/>
          <w:szCs w:val="20"/>
        </w:rPr>
        <w:t xml:space="preserve"> DOI: 10.1027/2192-0923/a000204</w:t>
      </w:r>
      <w:r>
        <w:rPr>
          <w:rFonts w:ascii="Calibri" w:cs="Calibri" w:eastAsia="Calibri" w:hAnsi="Calibri"/>
          <w:color w:val="336699"/>
          <w:sz w:val="20"/>
          <w:szCs w:val="20"/>
        </w:rPr>
        <w:t xml:space="preserve"> https://econtent.hogrefe.com/doi/10.1027/2192-0923/a000204</w:t>
      </w:r>
    </w:p>
    <w:p>
      <w:pPr>
        <w:spacing w:after="40"/>
        <w:ind w:left="360"/>
      </w:pPr>
      <w:r>
        <w:rPr>
          <w:rFonts w:ascii="Calibri" w:cs="Calibri" w:eastAsia="Calibri" w:hAnsi="Calibri"/>
          <w:sz w:val="22"/>
          <w:szCs w:val="22"/>
        </w:rPr>
        <w:t xml:space="preserve">This study evaluates 2,208 voluntary incident reports from commercial pilots to investigate learning-from-incidents bottlenecks. Results show report frequency depends on type of active failure, with learning opportunities particularly lacking for decision-making errors. Confidential reporting had positive effects on learning as these reports contained more information about latent failures. The study identifies specific latent failures that are risk factors for certain unsafe acts.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evidence about what makes incident reporting and learning systems effective or ineffective, even in aviation (the 'gold standard'). The finding that confidential reporting produces richer information about systemic factors directly supports the chapter's discussion of just culture enabling learning. Demonstrates that even mature safety cultures face challenges in translating incidents into organizational learning.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2026-02-20T05:44:27.317Z</dcterms:created>
  <dcterms:modified xsi:type="dcterms:W3CDTF">2026-02-20T05:44:27.317Z</dcterms:modified>
</cp:coreProperties>
</file>

<file path=docProps/custom.xml><?xml version="1.0" encoding="utf-8"?>
<Properties xmlns="http://schemas.openxmlformats.org/officeDocument/2006/custom-properties" xmlns:vt="http://schemas.openxmlformats.org/officeDocument/2006/docPropsVTypes"/>
</file>