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200"/>
        <w:jc w:val="center"/>
      </w:pPr>
      <w:r>
        <w:rPr>
          <w:rFonts w:ascii="Calibri" w:cs="Calibri" w:eastAsia="Calibri" w:hAnsi="Calibri"/>
          <w:b/>
          <w:bCs/>
          <w:sz w:val="26"/>
          <w:szCs w:val="26"/>
        </w:rPr>
        <w:t xml:space="preserve">The Crisis Before the Crisis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The chapter argues that the Grenfell Tower fire and the Fukushima Daiichi disaster share a critical commonality. What is that commonality?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conditions that determined the severity of each crisis were established long before the crisis event itself occurred</w:t>
      </w:r>
    </w:p>
    <w:p>
      <w:pPr>
        <w:spacing w:after="120"/>
        <w:ind w:left="360"/>
      </w:pPr>
      <w:r>
        <w:rPr>
          <w:rFonts w:ascii="Calibri" w:cs="Calibri" w:eastAsia="Calibri" w:hAnsi="Calibri"/>
          <w:i/>
          <w:iCs/>
          <w:sz w:val="20"/>
          <w:szCs w:val="20"/>
        </w:rPr>
        <w:t xml:space="preserve">The chapter's central thesis is that crises are 'decided before they begin.' Grenfell's combustible cladding was installed years before the fire, and Fukushima's backup generators were placed below the flood line during construction. Both illustrate that preparedness failures are structural and temporal — they are embedded in decisions made far in advance.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crises resulted from a single catastrophic equipment failure that overwhelmed otherwise adequate safety systems</w:t>
      </w:r>
    </w:p>
    <w:p>
      <w:pPr>
        <w:spacing w:after="80"/>
        <w:ind w:left="360"/>
      </w:pPr>
      <w:r>
        <w:rPr>
          <w:rFonts w:ascii="Calibri" w:cs="Calibri" w:eastAsia="Calibri" w:hAnsi="Calibri"/>
          <w:i/>
          <w:iCs/>
          <w:sz w:val="20"/>
          <w:szCs w:val="20"/>
        </w:rPr>
        <w:t xml:space="preserve">Students may focus on the triggering events (the fire, the tsunami) rather than the underlying conditions. The chapter emphasises that it was not the acute event alone but years of prior decisions — cladding selection, generator placement — that determined the outcomes.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crises were caused primarily by responders and supervisors who lacked adequate training and experience to handle the evolving situation</w:t>
      </w:r>
    </w:p>
    <w:p>
      <w:pPr>
        <w:spacing w:after="80"/>
        <w:ind w:left="360"/>
      </w:pPr>
      <w:r>
        <w:rPr>
          <w:rFonts w:ascii="Calibri" w:cs="Calibri" w:eastAsia="Calibri" w:hAnsi="Calibri"/>
          <w:i/>
          <w:iCs/>
          <w:sz w:val="20"/>
          <w:szCs w:val="20"/>
        </w:rPr>
        <w:t xml:space="preserve">While response quality matters, the chapter's argument is that the decisive failures occurred in the design and preparedness phase, not during the response itself. Blaming responders misses the systemic point the chapter makes.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crises occurred because regulatory agencies in each jurisdiction failed to conduct adequate post-incident reviews of similar earlier disasters</w:t>
      </w:r>
    </w:p>
    <w:p>
      <w:pPr>
        <w:spacing w:after="80"/>
        <w:ind w:left="360"/>
      </w:pPr>
      <w:r>
        <w:rPr>
          <w:rFonts w:ascii="Calibri" w:cs="Calibri" w:eastAsia="Calibri" w:hAnsi="Calibri"/>
          <w:i/>
          <w:iCs/>
          <w:sz w:val="20"/>
          <w:szCs w:val="20"/>
        </w:rPr>
        <w:t xml:space="preserve">Although failure to learn is a theme in the course, the chapter frames the commonality more broadly as a preparedness and design failure embedded in organisational decisions made years before the event, not specifically as a failure of post-incident review.</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According to high-reliability organisation (HRO) theory as presented in the chapter, what primarily distinguishes organisations that consistently manage extreme risk from those that are merely confident in their preparedness?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HROs maintain a chronic sense of unease and actively search for signs of potential failure even during periods of success</w:t>
      </w:r>
    </w:p>
    <w:p>
      <w:pPr>
        <w:spacing w:after="120"/>
        <w:ind w:left="360"/>
      </w:pPr>
      <w:r>
        <w:rPr>
          <w:rFonts w:ascii="Calibri" w:cs="Calibri" w:eastAsia="Calibri" w:hAnsi="Calibri"/>
          <w:i/>
          <w:iCs/>
          <w:sz w:val="20"/>
          <w:szCs w:val="20"/>
        </w:rPr>
        <w:t xml:space="preserve">HRO theory emphasises 'preoccupation with failure' as a defining characteristic. Organisations like aircraft carrier operations and nuclear submarine crews treat quiet periods not as evidence of safety but as opportunities to look harder for latent vulnerabilities. This cultural posture distinguishes them from organisations whose confidence is based on the absence of recent incidents.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HROs invest significantly more financial resources in emergency equipment, backup systems, and comprehensive redundant safety infrastructure than organisations focused only on cost</w:t>
      </w:r>
    </w:p>
    <w:p>
      <w:pPr>
        <w:spacing w:after="80"/>
        <w:ind w:left="360"/>
      </w:pPr>
      <w:r>
        <w:rPr>
          <w:rFonts w:ascii="Calibri" w:cs="Calibri" w:eastAsia="Calibri" w:hAnsi="Calibri"/>
          <w:i/>
          <w:iCs/>
          <w:sz w:val="20"/>
          <w:szCs w:val="20"/>
        </w:rPr>
        <w:t xml:space="preserve">Students may assume that superior preparedness is primarily a matter of spending more on hardware. While resources matter, HRO theory emphasises cultural and cognitive practices — such as preoccupation with failure and deference to expertise — rather than financial investment alone.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HROs employ more experienced personnel and therefore make fewer errors during routine operations</w:t>
      </w:r>
    </w:p>
    <w:p>
      <w:pPr>
        <w:spacing w:after="80"/>
        <w:ind w:left="360"/>
      </w:pPr>
      <w:r>
        <w:rPr>
          <w:rFonts w:ascii="Calibri" w:cs="Calibri" w:eastAsia="Calibri" w:hAnsi="Calibri"/>
          <w:i/>
          <w:iCs/>
          <w:sz w:val="20"/>
          <w:szCs w:val="20"/>
        </w:rPr>
        <w:t xml:space="preserve">This answer confuses individual expertise with organisational reliability. HRO theory focuses on systemic properties — how the organisation collectively attends to risk — rather than on the individual qualifications of its staff members.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HROs follow more detailed written procedures and enforce stricter compliance with standardised protocols</w:t>
      </w:r>
    </w:p>
    <w:p>
      <w:pPr>
        <w:spacing w:after="80"/>
        <w:ind w:left="360"/>
      </w:pPr>
      <w:r>
        <w:rPr>
          <w:rFonts w:ascii="Calibri" w:cs="Calibri" w:eastAsia="Calibri" w:hAnsi="Calibri"/>
          <w:i/>
          <w:iCs/>
          <w:sz w:val="20"/>
          <w:szCs w:val="20"/>
        </w:rPr>
        <w:t xml:space="preserve">This reflects a 'checklist' view of preparedness that the chapter explicitly critiques. HROs are characterised by sensitivity to operations and deference to expertise, which sometimes means departing from rigid procedures when conditions demand it.</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When the chapter reframes Reason's Swiss Cheese model as a proactive tool rather than a retrospective analysis lens, how does its application change?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is used to identify and address latent conditions and gaps in defensive layers before an incident occurs</w:t>
      </w:r>
    </w:p>
    <w:p>
      <w:pPr>
        <w:spacing w:after="120"/>
        <w:ind w:left="360"/>
      </w:pPr>
      <w:r>
        <w:rPr>
          <w:rFonts w:ascii="Calibri" w:cs="Calibri" w:eastAsia="Calibri" w:hAnsi="Calibri"/>
          <w:i/>
          <w:iCs/>
          <w:sz w:val="20"/>
          <w:szCs w:val="20"/>
        </w:rPr>
        <w:t xml:space="preserve">The Swiss Cheese model is traditionally used after a crisis to trace how failures aligned through multiple defensive layers. The chapter argues that the same model can be applied proactively: organisations can audit each layer of defence for existing holes and latent conditions, addressing vulnerabilities before they align to produce an incident.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used to assign individual accountability for each defensive layer so that specific people can be held responsible for failures</w:t>
      </w:r>
    </w:p>
    <w:p>
      <w:pPr>
        <w:spacing w:after="80"/>
        <w:ind w:left="360"/>
      </w:pPr>
      <w:r>
        <w:rPr>
          <w:rFonts w:ascii="Calibri" w:cs="Calibri" w:eastAsia="Calibri" w:hAnsi="Calibri"/>
          <w:i/>
          <w:iCs/>
          <w:sz w:val="20"/>
          <w:szCs w:val="20"/>
        </w:rPr>
        <w:t xml:space="preserve">This reflects a blame-oriented approach that contradicts both Reason's intent and the chapter's emphasis on just culture. The proactive use of the model focuses on systemic vulnerability identification, not on assigning individual blame for potential future failures.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used to eliminate all defensive layers that have previously been breached and replace them with entirely new safeguards</w:t>
      </w:r>
    </w:p>
    <w:p>
      <w:pPr>
        <w:spacing w:after="80"/>
        <w:ind w:left="360"/>
      </w:pPr>
      <w:r>
        <w:rPr>
          <w:rFonts w:ascii="Calibri" w:cs="Calibri" w:eastAsia="Calibri" w:hAnsi="Calibri"/>
          <w:i/>
          <w:iCs/>
          <w:sz w:val="20"/>
          <w:szCs w:val="20"/>
        </w:rPr>
        <w:t xml:space="preserve">The Swiss Cheese model does not suggest discarding breached layers but rather understanding and strengthening them. Proactive use involves assessing the current state of existing defences and their latent weaknesses, not wholesale replacement.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used to calculate the statistical probability that multiple layers will fail simultaneously during a future crisis</w:t>
      </w:r>
    </w:p>
    <w:p>
      <w:pPr>
        <w:spacing w:after="80"/>
        <w:ind w:left="360"/>
      </w:pPr>
      <w:r>
        <w:rPr>
          <w:rFonts w:ascii="Calibri" w:cs="Calibri" w:eastAsia="Calibri" w:hAnsi="Calibri"/>
          <w:i/>
          <w:iCs/>
          <w:sz w:val="20"/>
          <w:szCs w:val="20"/>
        </w:rPr>
        <w:t xml:space="preserve">While this sounds analytically rigorous, the Swiss Cheese model is a conceptual framework for understanding how defences interact, not a quantitative probability tool. Its proactive value lies in qualitative vulnerability assessment, not statistical calculation.</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How does the chapter argue that Klein's Recognition-Primed Decision (RPD) model should inform the design of crisis training programmes?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Training should build extensive mental pattern libraries through repeated exposure to diverse, realistic scenarios so that decision-makers can recognise situations rapidly under pressure</w:t>
      </w:r>
    </w:p>
    <w:p>
      <w:pPr>
        <w:spacing w:after="120"/>
        <w:ind w:left="360"/>
      </w:pPr>
      <w:r>
        <w:rPr>
          <w:rFonts w:ascii="Calibri" w:cs="Calibri" w:eastAsia="Calibri" w:hAnsi="Calibri"/>
          <w:i/>
          <w:iCs/>
          <w:sz w:val="20"/>
          <w:szCs w:val="20"/>
        </w:rPr>
        <w:t xml:space="preserve">Klein's RPD model shows that experienced decision-makers do not compare options analytically under pressure — they recognise a situation as similar to one they have encountered before and act on that recognition. The chapter argues training must therefore focus on building rich pattern libraries through scenario exposure, enabling fast, recognition-based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Training should focus on teaching decision-makers to slow down and systematically evaluate all available options before committing to a course of action</w:t>
      </w:r>
    </w:p>
    <w:p>
      <w:pPr>
        <w:spacing w:after="80"/>
        <w:ind w:left="360"/>
      </w:pPr>
      <w:r>
        <w:rPr>
          <w:rFonts w:ascii="Calibri" w:cs="Calibri" w:eastAsia="Calibri" w:hAnsi="Calibri"/>
          <w:i/>
          <w:iCs/>
          <w:sz w:val="20"/>
          <w:szCs w:val="20"/>
        </w:rPr>
        <w:t xml:space="preserve">This describes a rational-analytic decision model, which is the opposite of what RPD describes. Klein's research shows that expert decision-makers under time pressure rely on pattern recognition rather than comparative analysis. Training designed around deliberate option comparison would not build the competencies RPD identifies as critical.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Training should ensure that every team member memorises the single correct response for each type of crisis scenario the organisation might face</w:t>
      </w:r>
    </w:p>
    <w:p>
      <w:pPr>
        <w:spacing w:after="80"/>
        <w:ind w:left="360"/>
      </w:pPr>
      <w:r>
        <w:rPr>
          <w:rFonts w:ascii="Calibri" w:cs="Calibri" w:eastAsia="Calibri" w:hAnsi="Calibri"/>
          <w:i/>
          <w:iCs/>
          <w:sz w:val="20"/>
          <w:szCs w:val="20"/>
        </w:rPr>
        <w:t xml:space="preserve">This suggests a rigid, rule-based approach that contradicts RPD's emphasis on adaptive, recognition-based thinking. Real crises rarely match textbook scenarios exactly, so effective training develops flexible pattern recognition rather than rote memorisation of fixed responses.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Training should primarily develop individual confidence and decisiveness so that crisis decision-makers are willing to take action without hesitation or consultation</w:t>
      </w:r>
    </w:p>
    <w:p>
      <w:pPr>
        <w:spacing w:after="80"/>
        <w:ind w:left="360"/>
      </w:pPr>
      <w:r>
        <w:rPr>
          <w:rFonts w:ascii="Calibri" w:cs="Calibri" w:eastAsia="Calibri" w:hAnsi="Calibri"/>
          <w:i/>
          <w:iCs/>
          <w:sz w:val="20"/>
          <w:szCs w:val="20"/>
        </w:rPr>
        <w:t xml:space="preserve">While confidence matters, RPD is about the cognitive architecture of expert decision-making — specifically the accumulated mental models that allow situation recognition. Confidence without the underlying pattern library leads to decisive but potentially wrong decisions.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The chapter describes how Dekker's just culture framework becomes foundational for crisis preparedness. What specific preparedness function does a just culture primarily enable?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creates reporting systems where employees surface near-misses and errors without fear, allowing organisations to detect vulnerabilities before catastrophic failures</w:t>
      </w:r>
    </w:p>
    <w:p>
      <w:pPr>
        <w:spacing w:after="120"/>
        <w:ind w:left="360"/>
      </w:pPr>
      <w:r>
        <w:rPr>
          <w:rFonts w:ascii="Calibri" w:cs="Calibri" w:eastAsia="Calibri" w:hAnsi="Calibri"/>
          <w:i/>
          <w:iCs/>
          <w:sz w:val="20"/>
          <w:szCs w:val="20"/>
        </w:rPr>
        <w:t xml:space="preserve">A just culture, as the chapter explains, distinguishes between blameworthy acts and honest mistakes or system-induced errors. When employees trust that reporting will not lead to automatic punishment, they are far more likely to report near-misses and minor errors. These reports are the early-warning data that allow organisations to identify and fix latent vulnerabilities before they combine into disasters.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ensures that all employees involved in a crisis receive equal disciplinary consequences regardless of their role or intent</w:t>
      </w:r>
    </w:p>
    <w:p>
      <w:pPr>
        <w:spacing w:after="80"/>
        <w:ind w:left="360"/>
      </w:pPr>
      <w:r>
        <w:rPr>
          <w:rFonts w:ascii="Calibri" w:cs="Calibri" w:eastAsia="Calibri" w:hAnsi="Calibri"/>
          <w:i/>
          <w:iCs/>
          <w:sz w:val="20"/>
          <w:szCs w:val="20"/>
        </w:rPr>
        <w:t xml:space="preserve">This describes a punitive culture, which is the opposite of Dekker's just culture. A just culture specifically differentiates between types of behaviour and intent. Equal punishment regardless of context would suppress the reporting that makes proactive vulnerability detection possible.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establishes a legal framework that protects the organisation from liability when employees make errors during crisis response</w:t>
      </w:r>
    </w:p>
    <w:p>
      <w:pPr>
        <w:spacing w:after="80"/>
        <w:ind w:left="360"/>
      </w:pPr>
      <w:r>
        <w:rPr>
          <w:rFonts w:ascii="Calibri" w:cs="Calibri" w:eastAsia="Calibri" w:hAnsi="Calibri"/>
          <w:i/>
          <w:iCs/>
          <w:sz w:val="20"/>
          <w:szCs w:val="20"/>
        </w:rPr>
        <w:t xml:space="preserve">While legal concerns are relevant to organisational culture, Dekker's just culture is about internal trust and learning, not external legal protection. A student choosing this may be confusing organisational culture with legal risk management.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motivates employees to achieve higher individual performance standards by publicly recognising those who avoid making errors</w:t>
      </w:r>
    </w:p>
    <w:p>
      <w:pPr>
        <w:spacing w:after="80"/>
        <w:ind w:left="360"/>
      </w:pPr>
      <w:r>
        <w:rPr>
          <w:rFonts w:ascii="Calibri" w:cs="Calibri" w:eastAsia="Calibri" w:hAnsi="Calibri"/>
          <w:i/>
          <w:iCs/>
          <w:sz w:val="20"/>
          <w:szCs w:val="20"/>
        </w:rPr>
        <w:t xml:space="preserve">This reflects a performance-management approach that could actually undermine just culture by stigmatising error. The purpose of just culture in preparedness is not to reward error-free performance but to create conditions where the inevitable errors and near-misses are reported and learned from.</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The chapter applies Weick's sensemaking framework to the design of preparedness systems. Which preparedness design principle follows most directly from sensemaking theory?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Communication systems should be designed to maintain shared situational awareness so that team members construct a common understanding of evolving events</w:t>
      </w:r>
    </w:p>
    <w:p>
      <w:pPr>
        <w:spacing w:after="120"/>
        <w:ind w:left="360"/>
      </w:pPr>
      <w:r>
        <w:rPr>
          <w:rFonts w:ascii="Calibri" w:cs="Calibri" w:eastAsia="Calibri" w:hAnsi="Calibri"/>
          <w:i/>
          <w:iCs/>
          <w:sz w:val="20"/>
          <w:szCs w:val="20"/>
        </w:rPr>
        <w:t xml:space="preserve">Weick's sensemaking framework emphasises that people in crises must collectively construct an understanding of ambiguous, rapidly changing situations. The chapter argues that preparedness systems should therefore be designed to support shared situational awareness — ensuring that all relevant actors are working from a common, continuously updated understanding of what is happening.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Communication systems should funnel all information to a single senior decision-maker who constructs the official interpretation without providing real-time feedback to responders</w:t>
      </w:r>
    </w:p>
    <w:p>
      <w:pPr>
        <w:spacing w:after="80"/>
        <w:ind w:left="360"/>
      </w:pPr>
      <w:r>
        <w:rPr>
          <w:rFonts w:ascii="Calibri" w:cs="Calibri" w:eastAsia="Calibri" w:hAnsi="Calibri"/>
          <w:i/>
          <w:iCs/>
          <w:sz w:val="20"/>
          <w:szCs w:val="20"/>
        </w:rPr>
        <w:t xml:space="preserve">This centralised model contradicts sensemaking theory, which emphasises that meaning is constructed collectively through interaction. Funnelling everything to one person creates a bottleneck and eliminates the diverse perspectives that improve sensemaking quality.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Organisations should pre-script specific messages for every anticipated crisis scenario to avoid ambiguity in communications</w:t>
      </w:r>
    </w:p>
    <w:p>
      <w:pPr>
        <w:spacing w:after="80"/>
        <w:ind w:left="360"/>
      </w:pPr>
      <w:r>
        <w:rPr>
          <w:rFonts w:ascii="Calibri" w:cs="Calibri" w:eastAsia="Calibri" w:hAnsi="Calibri"/>
          <w:i/>
          <w:iCs/>
          <w:sz w:val="20"/>
          <w:szCs w:val="20"/>
        </w:rPr>
        <w:t xml:space="preserve">Pre-scripted messages assume crises will match anticipated scenarios, which contradicts sensemaking theory's core insight that crises are inherently ambiguous and require ongoing interpretation. Rigid scripts may actually impede the adaptive communication that sensemaking requires.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Communication frequency should be minimised during crises to reduce information overload and prevent confusion among responders</w:t>
      </w:r>
    </w:p>
    <w:p>
      <w:pPr>
        <w:spacing w:after="80"/>
        <w:ind w:left="360"/>
      </w:pPr>
      <w:r>
        <w:rPr>
          <w:rFonts w:ascii="Calibri" w:cs="Calibri" w:eastAsia="Calibri" w:hAnsi="Calibri"/>
          <w:i/>
          <w:iCs/>
          <w:sz w:val="20"/>
          <w:szCs w:val="20"/>
        </w:rPr>
        <w:t xml:space="preserve">While information overload is a real concern, reducing communication undermines the continuous social process of sensemaking. Weick's framework suggests that ongoing communication is how shared understanding is built and maintained — the solution is better-designed communication, not less of it.</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The chapter discusses why scenario-based stress testing is more effective than traditional checklist-based preparedness. Which limitation of checklists does scenario-based testing specifically address?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Checklists verify the existence of individual components but fail to test how those components interact and perform under the dynamic pressures of an actual crisis</w:t>
      </w:r>
    </w:p>
    <w:p>
      <w:pPr>
        <w:spacing w:after="120"/>
        <w:ind w:left="360"/>
      </w:pPr>
      <w:r>
        <w:rPr>
          <w:rFonts w:ascii="Calibri" w:cs="Calibri" w:eastAsia="Calibri" w:hAnsi="Calibri"/>
          <w:i/>
          <w:iCs/>
          <w:sz w:val="20"/>
          <w:szCs w:val="20"/>
        </w:rPr>
        <w:t xml:space="preserve">The chapter argues that preparedness is a 'cultural and structural condition,' not a checklist exercise. Checklists can confirm that equipment exists and procedures are documented, but they cannot reveal whether people, systems, and processes will function together under stress. Scenario-based stress testing exposes the emergent failures that only appear when multiple systems interact under pressure.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Checklists are too expensive to maintain and update compared to the lower costs of running periodic stress-test exercises</w:t>
      </w:r>
    </w:p>
    <w:p>
      <w:pPr>
        <w:spacing w:after="80"/>
        <w:ind w:left="360"/>
      </w:pPr>
      <w:r>
        <w:rPr>
          <w:rFonts w:ascii="Calibri" w:cs="Calibri" w:eastAsia="Calibri" w:hAnsi="Calibri"/>
          <w:i/>
          <w:iCs/>
          <w:sz w:val="20"/>
          <w:szCs w:val="20"/>
        </w:rPr>
        <w:t xml:space="preserve">This focuses on a cost comparison that the chapter does not make. The argument against checklists is conceptual, not financial — they test the wrong things, not that they cost too much. Scenario-based testing may actually be more resource-intensive than maintaining checklists.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Checklists focus on structural compliance and therefore neglect the dynamic real-time adaptation that crisis responders must perform in changing emergency situations</w:t>
      </w:r>
    </w:p>
    <w:p>
      <w:pPr>
        <w:spacing w:after="80"/>
        <w:ind w:left="360"/>
      </w:pPr>
      <w:r>
        <w:rPr>
          <w:rFonts w:ascii="Calibri" w:cs="Calibri" w:eastAsia="Calibri" w:hAnsi="Calibri"/>
          <w:i/>
          <w:iCs/>
          <w:sz w:val="20"/>
          <w:szCs w:val="20"/>
        </w:rPr>
        <w:t xml:space="preserve">The chapter's critique of checklists is not about who they hold accountable but about what they fail to test. Checklists can cover all personnel levels; their limitation is that they assess static readiness rather than dynamic performance under realistic conditions.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Checklists become outdated within weeks and require constant revision, making them impractical for most organisations</w:t>
      </w:r>
    </w:p>
    <w:p>
      <w:pPr>
        <w:spacing w:after="80"/>
        <w:ind w:left="360"/>
      </w:pPr>
      <w:r>
        <w:rPr>
          <w:rFonts w:ascii="Calibri" w:cs="Calibri" w:eastAsia="Calibri" w:hAnsi="Calibri"/>
          <w:i/>
          <w:iCs/>
          <w:sz w:val="20"/>
          <w:szCs w:val="20"/>
        </w:rPr>
        <w:t xml:space="preserve">While outdated plans are a concern, this mischaracterises the chapter's argument. The fundamental limitation of checklists is not that they become outdated quickly but that even a perfectly current checklist cannot reveal how prepared an organisation truly is for the interactive, cascading demands of a real crisis.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argues that the shift from individual crisis competence to organisational crisis culture is essential. A hospital has several individually excellent emergency physicians but consistently struggles during mass-casualty events. Based on the chapter's analysis, what is the most likely explanation?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organisation has not developed the shared practices, communication norms, and coordination structures that translate individual skill into collective performance under crisis conditions</w:t>
      </w:r>
    </w:p>
    <w:p>
      <w:pPr>
        <w:spacing w:after="120"/>
        <w:ind w:left="360"/>
      </w:pPr>
      <w:r>
        <w:rPr>
          <w:rFonts w:ascii="Calibri" w:cs="Calibri" w:eastAsia="Calibri" w:hAnsi="Calibri"/>
          <w:i/>
          <w:iCs/>
          <w:sz w:val="20"/>
          <w:szCs w:val="20"/>
        </w:rPr>
        <w:t xml:space="preserve">The chapter distinguishes between individual competence and organisational culture. Individual expertise is necessary but insufficient — crises are managed by teams and systems, not isolated individuals. Without shared mental models, practiced coordination, and embedded communication norms, even highly skilled individuals will fail to operate as a coherent unit during a crisis.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physicians have been trained in outdated medical protocols and techniques and need to update their individual clinical knowledge through additional certification</w:t>
      </w:r>
    </w:p>
    <w:p>
      <w:pPr>
        <w:spacing w:after="80"/>
        <w:ind w:left="360"/>
      </w:pPr>
      <w:r>
        <w:rPr>
          <w:rFonts w:ascii="Calibri" w:cs="Calibri" w:eastAsia="Calibri" w:hAnsi="Calibri"/>
          <w:i/>
          <w:iCs/>
          <w:sz w:val="20"/>
          <w:szCs w:val="20"/>
        </w:rPr>
        <w:t xml:space="preserve">This answer reduces the problem to individual skill deficits, which contradicts the scenario's premise that the physicians are individually excellent. The chapter's point is that the gap lies between individual competence and organisational capability — it is a systems-level problem, not an individual-level 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Mass-casualty events are inherently unpredictable and no amount of organisational preparation can reliably improve outcomes</w:t>
      </w:r>
    </w:p>
    <w:p>
      <w:pPr>
        <w:spacing w:after="80"/>
        <w:ind w:left="360"/>
      </w:pPr>
      <w:r>
        <w:rPr>
          <w:rFonts w:ascii="Calibri" w:cs="Calibri" w:eastAsia="Calibri" w:hAnsi="Calibri"/>
          <w:i/>
          <w:iCs/>
          <w:sz w:val="20"/>
          <w:szCs w:val="20"/>
        </w:rPr>
        <w:t xml:space="preserve">This fatalistic view contradicts the entire premise of the chapter. The chapter draws on HRO theory to show that organisations can reliably manage extreme events through cultural and structural preparedness. Accepting chaos as inevitable ignores the evidence from high-reliability organisations.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hospital should hire additional emergency physicians so that each individual handles fewer patients and can maintain high performance</w:t>
      </w:r>
    </w:p>
    <w:p>
      <w:pPr>
        <w:spacing w:after="80"/>
        <w:ind w:left="360"/>
      </w:pPr>
      <w:r>
        <w:rPr>
          <w:rFonts w:ascii="Calibri" w:cs="Calibri" w:eastAsia="Calibri" w:hAnsi="Calibri"/>
          <w:i/>
          <w:iCs/>
          <w:sz w:val="20"/>
          <w:szCs w:val="20"/>
        </w:rPr>
        <w:t xml:space="preserve">Adding more individually competent people without addressing the organisational culture will likely reproduce the same coordination failures at a larger scale. The chapter argues the problem is not the quantity of skilled individuals but the quality of the system that connects them.</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manufacturing company conducts an annual crisis drill in which managers follow a predetermined script, resolve the simulated scenario within the expected timeframe, and report high confidence levels afterward. Based on the chapter's framework, what is the most significant problem with this approach?</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scripted, predictable nature of the drill fails to create the ambiguity, time pressure, and emergent complexity that characterise real crises, producing false confidence rather than genuine readiness</w:t>
      </w:r>
    </w:p>
    <w:p>
      <w:pPr>
        <w:spacing w:after="120"/>
        <w:ind w:left="360"/>
      </w:pPr>
      <w:r>
        <w:rPr>
          <w:rFonts w:ascii="Calibri" w:cs="Calibri" w:eastAsia="Calibri" w:hAnsi="Calibri"/>
          <w:i/>
          <w:iCs/>
          <w:sz w:val="20"/>
          <w:szCs w:val="20"/>
        </w:rPr>
        <w:t xml:space="preserve">The chapter emphasises that effective scenario-based stress testing must subject organisational systems to realistic pressures. A scripted drill that proceeds according to plan tests only the organisation's ability to follow instructions in a controlled setting — it reveals nothing about how communication, decision-making, and coordination will perform when confronted with the genuine uncertainty and cascading surprises of a real crisis. The resulting confidence is unfounded.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Annual drills are conducted too infrequently to meet minimum regulatory requirements for emergency preparedness</w:t>
      </w:r>
    </w:p>
    <w:p>
      <w:pPr>
        <w:spacing w:after="80"/>
        <w:ind w:left="360"/>
      </w:pPr>
      <w:r>
        <w:rPr>
          <w:rFonts w:ascii="Calibri" w:cs="Calibri" w:eastAsia="Calibri" w:hAnsi="Calibri"/>
          <w:i/>
          <w:iCs/>
          <w:sz w:val="20"/>
          <w:szCs w:val="20"/>
        </w:rPr>
        <w:t xml:space="preserve">This focuses on compliance frequency rather than drill quality, which misses the chapter's deeper point. Even if the drill were conducted monthly, its scripted and predictable design would still fail to test real preparedness. The problem is the nature of the exercise, not its frequency.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Managers should not be the participants in crisis drills because effective crisis response depends primarily on frontline workers</w:t>
      </w:r>
    </w:p>
    <w:p>
      <w:pPr>
        <w:spacing w:after="80"/>
        <w:ind w:left="360"/>
      </w:pPr>
      <w:r>
        <w:rPr>
          <w:rFonts w:ascii="Calibri" w:cs="Calibri" w:eastAsia="Calibri" w:hAnsi="Calibri"/>
          <w:i/>
          <w:iCs/>
          <w:sz w:val="20"/>
          <w:szCs w:val="20"/>
        </w:rPr>
        <w:t xml:space="preserve">While the chapter values frontline contributions, the problem described is not about who participates but about how the drill is designed. Replacing managers with frontline workers in an equally scripted exercise would not address the fundamental issue of unrealistic testing conditions.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drill should focus exclusively on the most catastrophic possible scenario to prepare for the worst case</w:t>
      </w:r>
    </w:p>
    <w:p>
      <w:pPr>
        <w:spacing w:after="80"/>
        <w:ind w:left="360"/>
      </w:pPr>
      <w:r>
        <w:rPr>
          <w:rFonts w:ascii="Calibri" w:cs="Calibri" w:eastAsia="Calibri" w:hAnsi="Calibri"/>
          <w:i/>
          <w:iCs/>
          <w:sz w:val="20"/>
          <w:szCs w:val="20"/>
        </w:rPr>
        <w:t xml:space="preserve">While challenging scenarios are valuable, exclusively testing extreme cases creates its own preparedness gap. The chapter's critique is about the drill's scripted predictability, not about the severity of the scenario chosen. A worst-case scenario that is still scripted and predictable would share the same fundamental flaw.</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 is deliberately positioned as the final chapter in the course. A student argues that preparedness should have been taught first because prevention logically precedes response. Based on the chapter's reasoning, why is this argument flawed?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Designing effective preparedness requires understanding how crises unfold, how decisions degrade, how communication fails, and how organisations fail to learn — knowledge that can only be built by studying those phenomena first</w:t>
      </w:r>
    </w:p>
    <w:p>
      <w:pPr>
        <w:spacing w:after="120"/>
        <w:ind w:left="360"/>
      </w:pPr>
      <w:r>
        <w:rPr>
          <w:rFonts w:ascii="Calibri" w:cs="Calibri" w:eastAsia="Calibri" w:hAnsi="Calibri"/>
          <w:i/>
          <w:iCs/>
          <w:sz w:val="20"/>
          <w:szCs w:val="20"/>
        </w:rPr>
        <w:t xml:space="preserve">The chapter explicitly addresses its own placement, arguing that preparedness is the integration of every concept in the course. You cannot conduct a meaningful vulnerability assessment without understanding the Swiss Cheese model, cannot design training without understanding RPD, cannot build communication systems without understanding sensemaking, and cannot create reporting cultures without understanding just culture. Preparedness is the capstone, not the introduction.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Preparedness is less important than response skills, so it deserves less prominent placement earlier in the course</w:t>
      </w:r>
    </w:p>
    <w:p>
      <w:pPr>
        <w:spacing w:after="80"/>
        <w:ind w:left="360"/>
      </w:pPr>
      <w:r>
        <w:rPr>
          <w:rFonts w:ascii="Calibri" w:cs="Calibri" w:eastAsia="Calibri" w:hAnsi="Calibri"/>
          <w:i/>
          <w:iCs/>
          <w:sz w:val="20"/>
          <w:szCs w:val="20"/>
        </w:rPr>
        <w:t xml:space="preserve">The chapter argues the opposite — that preparedness is the 'most consequential question' of the entire course. Its final placement reflects not lesser importance but the fact that it requires all prior concepts as prerequisites. This answer inverts the chapter's value judgment about preparedness.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Students would find preparedness concepts boring without first being motivated by dramatic crisis case studies earlier in the course</w:t>
      </w:r>
    </w:p>
    <w:p>
      <w:pPr>
        <w:spacing w:after="80"/>
        <w:ind w:left="360"/>
      </w:pPr>
      <w:r>
        <w:rPr>
          <w:rFonts w:ascii="Calibri" w:cs="Calibri" w:eastAsia="Calibri" w:hAnsi="Calibri"/>
          <w:i/>
          <w:iCs/>
          <w:sz w:val="20"/>
          <w:szCs w:val="20"/>
        </w:rPr>
        <w:t xml:space="preserve">While pedagogical engagement matters, the chapter's rationale for its placement is conceptual, not motivational. The argument is that preparedness requires the full conceptual toolkit developed throughout the course — it is an intellectual dependency, not merely a sequencing preference for student interest.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Preparedness frameworks were only recently developed by researchers and therefore reflect the newest scholarship that should be covered last</w:t>
      </w:r>
    </w:p>
    <w:p>
      <w:pPr>
        <w:spacing w:after="80"/>
        <w:ind w:left="360"/>
      </w:pPr>
      <w:r>
        <w:rPr>
          <w:rFonts w:ascii="Calibri" w:cs="Calibri" w:eastAsia="Calibri" w:hAnsi="Calibri"/>
          <w:i/>
          <w:iCs/>
          <w:sz w:val="20"/>
          <w:szCs w:val="20"/>
        </w:rPr>
        <w:t xml:space="preserve">This mischaracterises the chapter's reasoning. HRO theory and other preparedness frameworks have existed for decades. The chapter is positioned last because it synthesises and applies forward every framework studied in the course, not because the underlying scholarship is chronologically more recent.</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2026-02-20T07:10:12.458Z</dcterms:created>
  <dcterms:modified xsi:type="dcterms:W3CDTF">2026-02-20T07:10:12.458Z</dcterms:modified>
</cp:coreProperties>
</file>

<file path=docProps/custom.xml><?xml version="1.0" encoding="utf-8"?>
<Properties xmlns="http://schemas.openxmlformats.org/officeDocument/2006/custom-properties" xmlns:vt="http://schemas.openxmlformats.org/officeDocument/2006/docPropsVTypes"/>
</file>