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The Crisis Before the Crisis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theoretical and empirical foundation for understanding organizational preparedness as the culmination of crisis management competence. Weick and Sutcliffe's HRO work (1999, 2015) establishes the core principles distinguishing organizations that consistently manage extreme risk from those merely confident—the central pedagogical question of the chapter. Vogus and Sutcliffe (2011, 2016) extend this into dual frameworks of anticipation/containment and crisis/resilience integration, showing preparedness requires both structural design and ongoing process. Jin et al. (2024) advances beyond preparedness to 'readiness,' capturing the chapter's shift from reactive capability to proactive cultural condition. The stress testing literature (Younis, 2024) provides practical methodologies students will use to design vulnerability assessments and scenario exercises. Haas et al. (2020) operationalizes how near-miss reporting translates Dekker's just culture into functioning systems. Finally, Hanssen et al. (2022) demonstrates how organizations learn 'for crisis' not just 'from crisis,' supporting the chapter's reversal of the course arc—asking what should have happened before anything started. Together, these sources enable students to understand that crisis outcomes are determined by years of prior decisions, cultural development, and structural choices—that Grenfell's cladding, Fukushima's generator placement, and the Thai cave rescue's coordination capabilities were all decided long before recognition, response, or review phases began. The sources provide both theoretical frameworks (HRO principles, collective mindfulness, readiness constructs) and practical tools (stress testing, vulnerability assessment, near-miss systems) needed for students to conduct organizational assessments and design preparedness roadmaps addressing systemic gaps.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Karl E. Weick and Kathleen M. Sutcliffe (2015). </w:t>
      </w:r>
      <w:r>
        <w:rPr>
          <w:rFonts w:ascii="Calibri" w:cs="Calibri" w:eastAsia="Calibri" w:hAnsi="Calibri"/>
          <w:i/>
          <w:iCs/>
          <w:sz w:val="22"/>
          <w:szCs w:val="22"/>
        </w:rPr>
        <w:t xml:space="preserve">Managing the Unexpected: Resilient Performance in an Age of Uncertainty (3rd Edition)</w:t>
      </w:r>
      <w:r>
        <w:rPr>
          <w:rFonts w:ascii="Calibri" w:cs="Calibri" w:eastAsia="Calibri" w:hAnsi="Calibri"/>
          <w:color w:val="336699"/>
          <w:sz w:val="20"/>
          <w:szCs w:val="20"/>
        </w:rPr>
        <w:t xml:space="preserve"> https://psnet.ahrq.gov/issue/managing-unexpected-sustained-performance-complex-world-3rd-edition</w:t>
      </w:r>
    </w:p>
    <w:p>
      <w:pPr>
        <w:spacing w:after="40"/>
        <w:ind w:left="360"/>
      </w:pPr>
      <w:r>
        <w:rPr>
          <w:rFonts w:ascii="Calibri" w:cs="Calibri" w:eastAsia="Calibri" w:hAnsi="Calibri"/>
          <w:sz w:val="22"/>
          <w:szCs w:val="22"/>
        </w:rPr>
        <w:t xml:space="preserve">The seminal text on high-reliability organizations that defines five principles of collective mindfulness: preoccupation with failure, reluctance to simplify interpretations, sensitivity to operations, commitment to resilience, and deference to expertise. Provides detailed analysis of how organizations operating under challenging conditions develop ways of managing the unexpected better than others.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Core theoretical foundation for HRO principles in the chapter. Students need this to understand what separates organizations that consistently manage extreme risk from those merely confident they are prepared. Direct application to forward-looking preparedness frameworks.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Karl E. Weick, Kathleen M. Sutcliffe, and David Obstfeld (1999). </w:t>
      </w:r>
      <w:r>
        <w:rPr>
          <w:rFonts w:ascii="Calibri" w:cs="Calibri" w:eastAsia="Calibri" w:hAnsi="Calibri"/>
          <w:i/>
          <w:iCs/>
          <w:sz w:val="22"/>
          <w:szCs w:val="22"/>
        </w:rPr>
        <w:t xml:space="preserve">Organizing for High Reliability: Processes of Collective Mindfulness</w:t>
      </w:r>
      <w:r>
        <w:rPr>
          <w:rFonts w:ascii="Calibri" w:cs="Calibri" w:eastAsia="Calibri" w:hAnsi="Calibri"/>
          <w:color w:val="336699"/>
          <w:sz w:val="20"/>
          <w:szCs w:val="20"/>
        </w:rPr>
        <w:t xml:space="preserve"> http://wendynorris.com/wp-content/uploads/2018/08/Weick-et-al-2008-Organizing-for-High-Reliability-Processes-of-Collective-Mindfulness.pdf.pdf</w:t>
      </w:r>
    </w:p>
    <w:p>
      <w:pPr>
        <w:spacing w:after="40"/>
        <w:ind w:left="360"/>
      </w:pPr>
      <w:r>
        <w:rPr>
          <w:rFonts w:ascii="Calibri" w:cs="Calibri" w:eastAsia="Calibri" w:hAnsi="Calibri"/>
          <w:sz w:val="22"/>
          <w:szCs w:val="22"/>
        </w:rPr>
        <w:t xml:space="preserve">Foundational paper examining HROs including nuclear aircraft carriers, air traffic control, and nuclear power operations. Introduces collective mindfulness as distinct from individual mindfulness, emphasizing how organizations increase quality of attention across all levels to detect subtle variations requiring contingent responses.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understanding the theoretical origins of HRO theory mentioned in the chapter. Demonstrates how case studies of effective practice (and near catastrophes) inform proactive organizational design, directly supporting the chapter's move from reactive to proactive crisis management.</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Timothy J. Vogus and Kathleen M. Sutcliffe (2011). </w:t>
      </w:r>
      <w:r>
        <w:rPr>
          <w:rFonts w:ascii="Calibri" w:cs="Calibri" w:eastAsia="Calibri" w:hAnsi="Calibri"/>
          <w:i/>
          <w:iCs/>
          <w:sz w:val="22"/>
          <w:szCs w:val="22"/>
        </w:rPr>
        <w:t xml:space="preserve">High Reliability Organizations (HROs)</w:t>
      </w:r>
      <w:r>
        <w:rPr>
          <w:rFonts w:ascii="Calibri" w:cs="Calibri" w:eastAsia="Calibri" w:hAnsi="Calibri"/>
          <w:color w:val="336699"/>
          <w:sz w:val="20"/>
          <w:szCs w:val="20"/>
        </w:rPr>
        <w:t xml:space="preserve"> https://www.sciencedirect.com/science/article/abs/pii/S1521689611000334</w:t>
      </w:r>
    </w:p>
    <w:p>
      <w:pPr>
        <w:spacing w:after="40"/>
        <w:ind w:left="360"/>
      </w:pPr>
      <w:r>
        <w:rPr>
          <w:rFonts w:ascii="Calibri" w:cs="Calibri" w:eastAsia="Calibri" w:hAnsi="Calibri"/>
          <w:sz w:val="22"/>
          <w:szCs w:val="22"/>
        </w:rPr>
        <w:t xml:space="preserve">Examines system safety and accident prevention from the HRO paradigm perspective. HROs are distinguished by their processes and ways of organizing, pursuing both prevention (anticipation) and resilience (containment) approaches. Discusses how HROs operate in hazardous conditions yet have fewer than their fair share of adverse events.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dual framework of anticipation and containment that underpins the chapter's discussion of preparedness as both structural and cultural. Connects to how students will apply crisis frameworks forward rather than just retrospectively.</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Mustafa Younis (2024). </w:t>
      </w:r>
      <w:r>
        <w:rPr>
          <w:rFonts w:ascii="Calibri" w:cs="Calibri" w:eastAsia="Calibri" w:hAnsi="Calibri"/>
          <w:i/>
          <w:iCs/>
          <w:sz w:val="22"/>
          <w:szCs w:val="22"/>
        </w:rPr>
        <w:t xml:space="preserve">Stress Testing and Scenario Analysis in Risk Management</w:t>
      </w:r>
      <w:r>
        <w:rPr>
          <w:rFonts w:ascii="Calibri" w:cs="Calibri" w:eastAsia="Calibri" w:hAnsi="Calibri"/>
          <w:color w:val="336699"/>
          <w:sz w:val="20"/>
          <w:szCs w:val="20"/>
        </w:rPr>
        <w:t xml:space="preserve"> https://www.researchgate.net/publication/383456474_Stress_Testing_and_Scenario_Analysis_in_Risk_Management</w:t>
      </w:r>
    </w:p>
    <w:p>
      <w:pPr>
        <w:spacing w:after="40"/>
        <w:ind w:left="360"/>
      </w:pPr>
      <w:r>
        <w:rPr>
          <w:rFonts w:ascii="Calibri" w:cs="Calibri" w:eastAsia="Calibri" w:hAnsi="Calibri"/>
          <w:sz w:val="22"/>
          <w:szCs w:val="22"/>
        </w:rPr>
        <w:t xml:space="preserve">Examines stress testing with quantitative focus on assessing organizational resilience under extreme adverse conditions, and scenario analysis with broader qualitative approach to envision range of future states. Discusses how these tools enhance risk awareness, strategic planning, and regulatory compliance while addressing challenges like data quality and model risk.</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chapter content on scenario-based stress testing and exercising. Students will use these methodologies to design stress tests and vulnerability assessments for their own organizations. Provides practical frameworks for testing organizational preparedness.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Yan Jin, Glen Cameron, Timothy Coombs, W. Timothy Coombs (2024). </w:t>
      </w:r>
      <w:r>
        <w:rPr>
          <w:rFonts w:ascii="Calibri" w:cs="Calibri" w:eastAsia="Calibri" w:hAnsi="Calibri"/>
          <w:i/>
          <w:iCs/>
          <w:sz w:val="22"/>
          <w:szCs w:val="22"/>
        </w:rPr>
        <w:t xml:space="preserve">READINESS: A keystone concept beyond organizational crisis preparedness and resilience</w:t>
      </w:r>
      <w:r>
        <w:rPr>
          <w:rFonts w:ascii="Calibri" w:cs="Calibri" w:eastAsia="Calibri" w:hAnsi="Calibri"/>
          <w:color w:val="666666"/>
          <w:sz w:val="20"/>
          <w:szCs w:val="20"/>
        </w:rPr>
        <w:t xml:space="preserve"> DOI: 10.1111/1468-5973.12546</w:t>
      </w:r>
      <w:r>
        <w:rPr>
          <w:rFonts w:ascii="Calibri" w:cs="Calibri" w:eastAsia="Calibri" w:hAnsi="Calibri"/>
          <w:color w:val="336699"/>
          <w:sz w:val="20"/>
          <w:szCs w:val="20"/>
        </w:rPr>
        <w:t xml:space="preserve"> https://onlinelibrary.wiley.com/doi/10.1111/1468-5973.12546</w:t>
      </w:r>
    </w:p>
    <w:p>
      <w:pPr>
        <w:spacing w:after="40"/>
        <w:ind w:left="360"/>
      </w:pPr>
      <w:r>
        <w:rPr>
          <w:rFonts w:ascii="Calibri" w:cs="Calibri" w:eastAsia="Calibri" w:hAnsi="Calibri"/>
          <w:sz w:val="22"/>
          <w:szCs w:val="22"/>
        </w:rPr>
        <w:t xml:space="preserve">Proposes READINESS as multidimensional construct beyond preparedness and resilience, with multilevel efficacy, mental adaptability, and emotional leadership-focused mindset with dynamic process-driven agility at its core. Argues training and preparedness alone are insufficient; readiness enables optimal solutions to crises through willing engagement.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Captures the chapter's culminating concept: the shift from crisis response to crisis readiness. Demonstrates why preparedness requires every concept in the course and how readiness differs from mere planning—directly supporting the chapter's positioning as course capstone.</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Emily J. Haas, Erin Demich Kulbacki, and Sarah J. McGuire (2020). </w:t>
      </w:r>
      <w:r>
        <w:rPr>
          <w:rFonts w:ascii="Calibri" w:cs="Calibri" w:eastAsia="Calibri" w:hAnsi="Calibri"/>
          <w:i/>
          <w:iCs/>
          <w:sz w:val="22"/>
          <w:szCs w:val="22"/>
        </w:rPr>
        <w:t xml:space="preserve">Learning from Workers' Near-miss Reports to Improve Organizational Management</w:t>
      </w:r>
      <w:r>
        <w:rPr>
          <w:rFonts w:ascii="Calibri" w:cs="Calibri" w:eastAsia="Calibri" w:hAnsi="Calibri"/>
          <w:color w:val="336699"/>
          <w:sz w:val="20"/>
          <w:szCs w:val="20"/>
        </w:rPr>
        <w:t xml:space="preserve"> https://pmc.ncbi.nlm.nih.gov/articles/PMC7458492/</w:t>
      </w:r>
    </w:p>
    <w:p>
      <w:pPr>
        <w:spacing w:after="40"/>
        <w:ind w:left="360"/>
      </w:pPr>
      <w:r>
        <w:rPr>
          <w:rFonts w:ascii="Calibri" w:cs="Calibri" w:eastAsia="Calibri" w:hAnsi="Calibri"/>
          <w:sz w:val="22"/>
          <w:szCs w:val="22"/>
        </w:rPr>
        <w:t xml:space="preserve">Near misses are critical learning metrics and leading indicators in safety management systems. Organizations must tailor systems to provide workers decision-making autonomy and involve them in analyzing near-miss events. Active near-miss systems strengthen safety culture when workers identify and analyze events, not just report them.</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chapter's discussion of near-miss reporting systems that surface problems before they become catastrophes. Shows how Dekker's just culture becomes foundation for reporting systems—a specific application mentioned in chapter description.</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Timothy J. Vogus and Kathleen M. Sutcliffe (2016). </w:t>
      </w:r>
      <w:r>
        <w:rPr>
          <w:rFonts w:ascii="Calibri" w:cs="Calibri" w:eastAsia="Calibri" w:hAnsi="Calibri"/>
          <w:i/>
          <w:iCs/>
          <w:sz w:val="22"/>
          <w:szCs w:val="22"/>
        </w:rPr>
        <w:t xml:space="preserve">Organizational Response to Adversity: Fusing Crisis Management and Resilience Research Streams</w:t>
      </w:r>
      <w:r>
        <w:rPr>
          <w:rFonts w:ascii="Calibri" w:cs="Calibri" w:eastAsia="Calibri" w:hAnsi="Calibri"/>
          <w:color w:val="666666"/>
          <w:sz w:val="20"/>
          <w:szCs w:val="20"/>
        </w:rPr>
        <w:t xml:space="preserve"> DOI: 10.5465/annals.2015.0134</w:t>
      </w:r>
      <w:r>
        <w:rPr>
          <w:rFonts w:ascii="Calibri" w:cs="Calibri" w:eastAsia="Calibri" w:hAnsi="Calibri"/>
          <w:color w:val="336699"/>
          <w:sz w:val="20"/>
          <w:szCs w:val="20"/>
        </w:rPr>
        <w:t xml:space="preserve"> https://journals.aom.org/doi/10.5465/annals.2015.0134</w:t>
      </w:r>
    </w:p>
    <w:p>
      <w:pPr>
        <w:spacing w:after="40"/>
        <w:ind w:left="360"/>
      </w:pPr>
      <w:r>
        <w:rPr>
          <w:rFonts w:ascii="Calibri" w:cs="Calibri" w:eastAsia="Calibri" w:hAnsi="Calibri"/>
          <w:sz w:val="22"/>
          <w:szCs w:val="22"/>
        </w:rPr>
        <w:t xml:space="preserve">Integrative framework reviewing crisis management and resilience literatures, identifying capabilities for durability, organizing and adjusting, responding to major disturbances, and feedback loops from experiences. Distinguishes crisis-as-event from crisis-as-process perspectives and explores their implications.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integrative framework students need to understand how all course concepts connect in preparedness planning. Demonstrates how capabilities developed over time determine crisis outcomes—core argument that crisis is decided before it begins.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Heidi Richter Hanssen, Anette Meidell, and Preben H. Lindøe (2022). </w:t>
      </w:r>
      <w:r>
        <w:rPr>
          <w:rFonts w:ascii="Calibri" w:cs="Calibri" w:eastAsia="Calibri" w:hAnsi="Calibri"/>
          <w:i/>
          <w:iCs/>
          <w:sz w:val="22"/>
          <w:szCs w:val="22"/>
        </w:rPr>
        <w:t xml:space="preserve">Building Organizational Resilience Through Organizational Learning: A Systematic Review</w:t>
      </w:r>
      <w:r>
        <w:rPr>
          <w:rFonts w:ascii="Calibri" w:cs="Calibri" w:eastAsia="Calibri" w:hAnsi="Calibri"/>
          <w:color w:val="666666"/>
          <w:sz w:val="20"/>
          <w:szCs w:val="20"/>
        </w:rPr>
        <w:t xml:space="preserve"> DOI: 10.3389/fcomm.2022.837386</w:t>
      </w:r>
      <w:r>
        <w:rPr>
          <w:rFonts w:ascii="Calibri" w:cs="Calibri" w:eastAsia="Calibri" w:hAnsi="Calibri"/>
          <w:color w:val="336699"/>
          <w:sz w:val="20"/>
          <w:szCs w:val="20"/>
        </w:rPr>
        <w:t xml:space="preserve"> https://www.frontiersin.org/journals/communication/articles/10.3389/fcomm.2022.837386/full</w:t>
      </w:r>
    </w:p>
    <w:p>
      <w:pPr>
        <w:spacing w:after="40"/>
        <w:ind w:left="360"/>
      </w:pPr>
      <w:r>
        <w:rPr>
          <w:rFonts w:ascii="Calibri" w:cs="Calibri" w:eastAsia="Calibri" w:hAnsi="Calibri"/>
          <w:sz w:val="22"/>
          <w:szCs w:val="22"/>
        </w:rPr>
        <w:t xml:space="preserve">Systematic review showing resilience is both planned (preparing for future crisis) and adaptive (adapting to chronic stresses and acute shocks). Organizations learn 'in, from and for crisis.' Learning from normal functioning and minor events is as important as learning from major events for building resilience.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chapter's argument that organizational preparedness is cultural and structural condition built over years. Shows how organizations can design for learning before crises occur, connecting to how students will revisit frameworks and apply them forward.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2026-02-20T05:44:16.781Z</dcterms:created>
  <dcterms:modified xsi:type="dcterms:W3CDTF">2026-02-20T05:44:16.781Z</dcterms:modified>
</cp:coreProperties>
</file>

<file path=docProps/custom.xml><?xml version="1.0" encoding="utf-8"?>
<Properties xmlns="http://schemas.openxmlformats.org/officeDocument/2006/custom-properties" xmlns:vt="http://schemas.openxmlformats.org/officeDocument/2006/docPropsVTypes"/>
</file>