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Calibri" w:cs="Calibri" w:eastAsia="Calibri" w:hAnsi="Calibri"/>
          <w:b/>
          <w:bCs/>
          <w:sz w:val="28"/>
          <w:szCs w:val="28"/>
        </w:rPr>
        <w:t xml:space="preserve">Puppy School: An Evidence-Based Guide to Raising a Happy, Healthy Dog</w:t>
      </w:r>
    </w:p>
    <w:p>
      <w:pPr>
        <w:spacing w:after="200"/>
        <w:jc w:val="center"/>
      </w:pPr>
      <w:r>
        <w:rPr>
          <w:rFonts w:ascii="Calibri" w:cs="Calibri" w:eastAsia="Calibri" w:hAnsi="Calibri"/>
          <w:sz w:val="24"/>
          <w:szCs w:val="24"/>
        </w:rPr>
        <w:t xml:space="preserve">Nutrition &amp; Feeding — What Goes In Matters (And So Does How) — Research Dossier</w:t>
      </w:r>
    </w:p>
    <w:p>
      <w:pPr>
        <w:pBdr>
          <w:bottom w:val="single" w:color="999999" w:sz="1"/>
        </w:pBdr>
        <w:spacing w:after="200"/>
      </w:pPr>
    </w:p>
    <w:p>
      <w:pPr>
        <w:pStyle w:val="Heading2"/>
        <w:spacing w:before="200" w:after="120"/>
      </w:pPr>
      <w:r>
        <w:rPr>
          <w:rFonts w:ascii="Calibri" w:cs="Calibri" w:eastAsia="Calibri" w:hAnsi="Calibri"/>
          <w:b/>
          <w:bCs/>
          <w:sz w:val="24"/>
          <w:szCs w:val="24"/>
        </w:rPr>
        <w:t xml:space="preserve">Synthesis Notes</w:t>
      </w:r>
    </w:p>
    <w:p>
      <w:pPr>
        <w:spacing w:after="200"/>
      </w:pPr>
      <w:r>
        <w:rPr>
          <w:rFonts w:ascii="Calibri" w:cs="Calibri" w:eastAsia="Calibri" w:hAnsi="Calibri"/>
          <w:sz w:val="22"/>
          <w:szCs w:val="22"/>
        </w:rPr>
        <w:t xml:space="preserve">This collection of sources provides comprehensive, evidence-based support for all key concepts in the nutrition and feeding chapter. The sources span regulatory frameworks (AAFCO), peer-reviewed research (calcium/phosphorus requirements, toxic foods, training methods), clinical veterinary guidance (VCA resources), professional organization standards (AKC, AVMA, AAHA), and validated assessment tools (body condition scoring). Together, they support the chapter's approach of presenting evidence-based, non-judgmental nutritional guidance while addressing controversial topics like raw feeding with documented veterinary positions. The sources are particularly strong in areas critical to Australian puppy owners: macadamia nut toxicity (endemic to Australia), cooked bone dangers (relevant to BBQ culture), body condition monitoring for preventing obesity, and integration of feeding with training and daily routines. The regulatory content (AAFCO) provides international context that can be adapted to Australian standards (noting Australian pet food is regulated by state/territory authorities but often references similar nutritional profiles). Key pedagogical takeaway: Puppy nutrition is evidence-based but not one-size-fits-all; owners should understand 'complete and balanced' standards, recognize that feeding schedules integrate with house training and daily routines, use food thoughtfully in training, avoid documented toxins, monitor body condition rather than just weight, and make informed decisions about controversial topics (raw feeding, bones) with veterinary guidance rather than internet anxiety.</w:t>
      </w:r>
    </w:p>
    <w:p>
      <w:pPr>
        <w:pStyle w:val="Heading2"/>
        <w:spacing w:before="200" w:after="120"/>
      </w:pPr>
      <w:r>
        <w:rPr>
          <w:rFonts w:ascii="Calibri" w:cs="Calibri" w:eastAsia="Calibri" w:hAnsi="Calibri"/>
          <w:b/>
          <w:bCs/>
          <w:sz w:val="24"/>
          <w:szCs w:val="24"/>
        </w:rPr>
        <w:t xml:space="preserve">Sources (9)</w:t>
      </w:r>
    </w:p>
    <w:p>
      <w:pPr>
        <w:spacing w:before="200" w:after="60"/>
      </w:pPr>
      <w:r>
        <w:rPr>
          <w:rFonts w:ascii="Calibri" w:cs="Calibri" w:eastAsia="Calibri" w:hAnsi="Calibri"/>
          <w:b/>
          <w:bCs/>
          <w:sz w:val="22"/>
          <w:szCs w:val="22"/>
        </w:rPr>
        <w:t xml:space="preserve">1. </w:t>
      </w:r>
      <w:r>
        <w:rPr>
          <w:rFonts w:ascii="Calibri" w:cs="Calibri" w:eastAsia="Calibri" w:hAnsi="Calibri"/>
          <w:b/>
          <w:bCs/>
          <w:sz w:val="22"/>
          <w:szCs w:val="22"/>
        </w:rPr>
        <w:t xml:space="preserve">Dobenecker, B. et al. (2019). </w:t>
      </w:r>
      <w:r>
        <w:rPr>
          <w:rFonts w:ascii="Calibri" w:cs="Calibri" w:eastAsia="Calibri" w:hAnsi="Calibri"/>
          <w:i/>
          <w:iCs/>
          <w:sz w:val="22"/>
          <w:szCs w:val="22"/>
        </w:rPr>
        <w:t xml:space="preserve">Factorial calculation of calcium and phosphorus requirements of growing dogs</w:t>
      </w:r>
      <w:r>
        <w:rPr>
          <w:rFonts w:ascii="Calibri" w:cs="Calibri" w:eastAsia="Calibri" w:hAnsi="Calibri"/>
          <w:color w:val="336699"/>
          <w:sz w:val="20"/>
          <w:szCs w:val="20"/>
        </w:rPr>
        <w:t xml:space="preserve"> https://pmc.ncbi.nlm.nih.gov/articles/PMC6677383/</w:t>
      </w:r>
    </w:p>
    <w:p>
      <w:pPr>
        <w:spacing w:after="40"/>
        <w:ind w:left="360"/>
      </w:pPr>
      <w:r>
        <w:rPr>
          <w:rFonts w:ascii="Calibri" w:cs="Calibri" w:eastAsia="Calibri" w:hAnsi="Calibri"/>
          <w:sz w:val="22"/>
          <w:szCs w:val="22"/>
        </w:rPr>
        <w:t xml:space="preserve">Comprehensive study on calcium and phosphorus requirements during puppy growth. Found that the calcium/phosphorus ratio is approximately 2:1 during peak growth (2-4 months) and decreases to 1.49 in 7-12 month old dogs. Research demonstrates that puppies cannot adequately regulate calcium absorption from the intestinal tract, making excess calcium particularly problematic. Recommends a constant ratio of approximately 1.4:1 to avoid metabolic effects.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critical evidence-based guidance on calcium-to-phosphorus ratios essential for skeletal development in puppies, directly supporting the chapter's discussion of puppy-specific nutritional requirements and the dangers of both deficiency and excess.</w:t>
      </w:r>
    </w:p>
    <w:p>
      <w:pPr>
        <w:spacing w:before="200" w:after="60"/>
      </w:pPr>
      <w:r>
        <w:rPr>
          <w:rFonts w:ascii="Calibri" w:cs="Calibri" w:eastAsia="Calibri" w:hAnsi="Calibri"/>
          <w:b/>
          <w:bCs/>
          <w:sz w:val="22"/>
          <w:szCs w:val="22"/>
        </w:rPr>
        <w:t xml:space="preserve">2. </w:t>
      </w:r>
      <w:r>
        <w:rPr>
          <w:rFonts w:ascii="Calibri" w:cs="Calibri" w:eastAsia="Calibri" w:hAnsi="Calibri"/>
          <w:b/>
          <w:bCs/>
          <w:sz w:val="22"/>
          <w:szCs w:val="22"/>
        </w:rPr>
        <w:t xml:space="preserve">Association of American Feed Control Officials (AAFCO) (2015 (updated 2016)). </w:t>
      </w:r>
      <w:r>
        <w:rPr>
          <w:rFonts w:ascii="Calibri" w:cs="Calibri" w:eastAsia="Calibri" w:hAnsi="Calibri"/>
          <w:i/>
          <w:iCs/>
          <w:sz w:val="22"/>
          <w:szCs w:val="22"/>
        </w:rPr>
        <w:t xml:space="preserve">AAFCO Dog Food Nutrient Profiles - Model Regulations for Pet Food and Specialty Pet Food</w:t>
      </w:r>
      <w:r>
        <w:rPr>
          <w:rFonts w:ascii="Calibri" w:cs="Calibri" w:eastAsia="Calibri" w:hAnsi="Calibri"/>
          <w:color w:val="336699"/>
          <w:sz w:val="20"/>
          <w:szCs w:val="20"/>
        </w:rPr>
        <w:t xml:space="preserve"> https://www.aafco.org/</w:t>
      </w:r>
    </w:p>
    <w:p>
      <w:pPr>
        <w:spacing w:after="40"/>
        <w:ind w:left="360"/>
      </w:pPr>
      <w:r>
        <w:rPr>
          <w:rFonts w:ascii="Calibri" w:cs="Calibri" w:eastAsia="Calibri" w:hAnsi="Calibri"/>
          <w:sz w:val="22"/>
          <w:szCs w:val="22"/>
        </w:rPr>
        <w:t xml:space="preserve">AAFCO establishes nutrient profiles that define 'complete and balanced' pet food labeling. Two primary profiles exist: 'Growth and Reproduction' for puppies and 'Adult Maintenance'. Updated profiles in 2016 included specific provisions for large and giant breed puppies. Food must meet minimum requirements through either laboratory analysis or feeding trials. AAFCO standards are used by states to regulate pet food labeling.</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the regulatory framework for understanding 'complete and balanced' food labeling discussed in the chapter. Essential for helping puppy owners decode food packaging and understand Australian equivalents (noting AAFCO is US-based but widely referenced internationally).</w:t>
      </w:r>
    </w:p>
    <w:p>
      <w:pPr>
        <w:spacing w:before="200" w:after="60"/>
      </w:pPr>
      <w:r>
        <w:rPr>
          <w:rFonts w:ascii="Calibri" w:cs="Calibri" w:eastAsia="Calibri" w:hAnsi="Calibri"/>
          <w:b/>
          <w:bCs/>
          <w:sz w:val="22"/>
          <w:szCs w:val="22"/>
        </w:rPr>
        <w:t xml:space="preserve">3. </w:t>
      </w:r>
      <w:r>
        <w:rPr>
          <w:rFonts w:ascii="Calibri" w:cs="Calibri" w:eastAsia="Calibri" w:hAnsi="Calibri"/>
          <w:b/>
          <w:bCs/>
          <w:sz w:val="22"/>
          <w:szCs w:val="22"/>
        </w:rPr>
        <w:t xml:space="preserve">American Kennel Club (AKC) - Multiple veterinary contributors (2025). </w:t>
      </w:r>
      <w:r>
        <w:rPr>
          <w:rFonts w:ascii="Calibri" w:cs="Calibri" w:eastAsia="Calibri" w:hAnsi="Calibri"/>
          <w:i/>
          <w:iCs/>
          <w:sz w:val="22"/>
          <w:szCs w:val="22"/>
        </w:rPr>
        <w:t xml:space="preserve">Puppy Feeding Fundamentals</w:t>
      </w:r>
      <w:r>
        <w:rPr>
          <w:rFonts w:ascii="Calibri" w:cs="Calibri" w:eastAsia="Calibri" w:hAnsi="Calibri"/>
          <w:color w:val="336699"/>
          <w:sz w:val="20"/>
          <w:szCs w:val="20"/>
        </w:rPr>
        <w:t xml:space="preserve"> https://www.akc.org/expert-advice/nutrition/puppy-feeding-fundamentals/</w:t>
      </w:r>
    </w:p>
    <w:p>
      <w:pPr>
        <w:spacing w:after="40"/>
        <w:ind w:left="360"/>
      </w:pPr>
      <w:r>
        <w:rPr>
          <w:rFonts w:ascii="Calibri" w:cs="Calibri" w:eastAsia="Calibri" w:hAnsi="Calibri"/>
          <w:sz w:val="22"/>
          <w:szCs w:val="22"/>
        </w:rPr>
        <w:t xml:space="preserve">Evidence-based guidance on age-appropriate feeding schedules: 6-12 weeks require 4 meals daily; 3-6 months reduce to 3 meals; 6-12 months transition to twice daily feeding. Small breeds mature at 7-9 months while large breeds require 12-14 months. Emphasizes portion control based on body condition rather than just food intake, and accounting for training treats in daily calories.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Directly supports the chapter's feeding schedule recommendations and integration with daily routines and house training. Provides credible timeline for transitioning feeding frequencies as puppies mature.</w:t>
      </w:r>
    </w:p>
    <w:p>
      <w:pPr>
        <w:spacing w:before="200" w:after="60"/>
      </w:pPr>
      <w:r>
        <w:rPr>
          <w:rFonts w:ascii="Calibri" w:cs="Calibri" w:eastAsia="Calibri" w:hAnsi="Calibri"/>
          <w:b/>
          <w:bCs/>
          <w:sz w:val="22"/>
          <w:szCs w:val="22"/>
        </w:rPr>
        <w:t xml:space="preserve">4. </w:t>
      </w:r>
      <w:r>
        <w:rPr>
          <w:rFonts w:ascii="Calibri" w:cs="Calibri" w:eastAsia="Calibri" w:hAnsi="Calibri"/>
          <w:b/>
          <w:bCs/>
          <w:sz w:val="22"/>
          <w:szCs w:val="22"/>
        </w:rPr>
        <w:t xml:space="preserve">VCA Animal Hospitals - Veterinary teaching resource (Current (regularly updated)). </w:t>
      </w:r>
      <w:r>
        <w:rPr>
          <w:rFonts w:ascii="Calibri" w:cs="Calibri" w:eastAsia="Calibri" w:hAnsi="Calibri"/>
          <w:i/>
          <w:iCs/>
          <w:sz w:val="22"/>
          <w:szCs w:val="22"/>
        </w:rPr>
        <w:t xml:space="preserve">Using Reinforcement and Rewards to Train Your Pet</w:t>
      </w:r>
      <w:r>
        <w:rPr>
          <w:rFonts w:ascii="Calibri" w:cs="Calibri" w:eastAsia="Calibri" w:hAnsi="Calibri"/>
          <w:color w:val="336699"/>
          <w:sz w:val="20"/>
          <w:szCs w:val="20"/>
        </w:rPr>
        <w:t xml:space="preserve"> https://vcahospitals.com/know-your-pet/using-reinforcement-and-rewards-to-train-your-pet</w:t>
      </w:r>
    </w:p>
    <w:p>
      <w:pPr>
        <w:spacing w:after="40"/>
        <w:ind w:left="360"/>
      </w:pPr>
      <w:r>
        <w:rPr>
          <w:rFonts w:ascii="Calibri" w:cs="Calibri" w:eastAsia="Calibri" w:hAnsi="Calibri"/>
          <w:sz w:val="22"/>
          <w:szCs w:val="22"/>
        </w:rPr>
        <w:t xml:space="preserve">Comprehensive veterinary guide on positive reinforcement training principles. Emphasizes timing of reinforcement must be immediate (within seconds), the importance of high-value rewards, and transitioning from continuous to intermittent reinforcement once behaviors are established. Discusses food rewards as primary reinforcers and strategies to avoid treat-dependency through varied reinforcement schedules.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Supports the chapter's discussion of using food as training reinforcer without creating treat-dependent dogs. Provides scientific basis for timing, reward value, and reinforcement schedules that connect to Chapter 1's positive reinforcement foundations.</w:t>
      </w:r>
    </w:p>
    <w:p>
      <w:pPr>
        <w:spacing w:before="200" w:after="60"/>
      </w:pPr>
      <w:r>
        <w:rPr>
          <w:rFonts w:ascii="Calibri" w:cs="Calibri" w:eastAsia="Calibri" w:hAnsi="Calibri"/>
          <w:b/>
          <w:bCs/>
          <w:sz w:val="22"/>
          <w:szCs w:val="22"/>
        </w:rPr>
        <w:t xml:space="preserve">5. </w:t>
      </w:r>
      <w:r>
        <w:rPr>
          <w:rFonts w:ascii="Calibri" w:cs="Calibri" w:eastAsia="Calibri" w:hAnsi="Calibri"/>
          <w:b/>
          <w:bCs/>
          <w:sz w:val="22"/>
          <w:szCs w:val="22"/>
        </w:rPr>
        <w:t xml:space="preserve">Multiple authors - Research protocol (2021). </w:t>
      </w:r>
      <w:r>
        <w:rPr>
          <w:rFonts w:ascii="Calibri" w:cs="Calibri" w:eastAsia="Calibri" w:hAnsi="Calibri"/>
          <w:i/>
          <w:iCs/>
          <w:sz w:val="22"/>
          <w:szCs w:val="22"/>
        </w:rPr>
        <w:t xml:space="preserve">Improving dog training methods: Efficacy and efficiency of reward and mixed training methods</w:t>
      </w:r>
      <w:r>
        <w:rPr>
          <w:rFonts w:ascii="Calibri" w:cs="Calibri" w:eastAsia="Calibri" w:hAnsi="Calibri"/>
          <w:color w:val="336699"/>
          <w:sz w:val="20"/>
          <w:szCs w:val="20"/>
        </w:rPr>
        <w:t xml:space="preserve"> https://pmc.ncbi.nlm.nih.gov/articles/PMC7895348/</w:t>
      </w:r>
    </w:p>
    <w:p>
      <w:pPr>
        <w:spacing w:after="40"/>
        <w:ind w:left="360"/>
      </w:pPr>
      <w:r>
        <w:rPr>
          <w:rFonts w:ascii="Calibri" w:cs="Calibri" w:eastAsia="Calibri" w:hAnsi="Calibri"/>
          <w:sz w:val="22"/>
          <w:szCs w:val="22"/>
        </w:rPr>
        <w:t xml:space="preserve">Research study protocol examining reward-based training versus mixed training methods using operant conditioning principles. Documents that positive reinforcement methods (using food, praise, and toys) are endorsed by veterinarians and behavioral science community as most effective, humane, and safe training approach. Study design includes realistic flexibility in training approaches to reflect actual practice.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peer-reviewed scientific foundation for reward-based training methods discussed in the chapter, supporting the integration of food rewards in training without promoting punishment-based approaches.</w:t>
      </w:r>
    </w:p>
    <w:p>
      <w:pPr>
        <w:spacing w:before="200" w:after="60"/>
      </w:pPr>
      <w:r>
        <w:rPr>
          <w:rFonts w:ascii="Calibri" w:cs="Calibri" w:eastAsia="Calibri" w:hAnsi="Calibri"/>
          <w:b/>
          <w:bCs/>
          <w:sz w:val="22"/>
          <w:szCs w:val="22"/>
        </w:rPr>
        <w:t xml:space="preserve">6. </w:t>
      </w:r>
      <w:r>
        <w:rPr>
          <w:rFonts w:ascii="Calibri" w:cs="Calibri" w:eastAsia="Calibri" w:hAnsi="Calibri"/>
          <w:b/>
          <w:bCs/>
          <w:sz w:val="22"/>
          <w:szCs w:val="22"/>
        </w:rPr>
        <w:t xml:space="preserve">Cortinovis, C. &amp; Caloni, F. (2016). </w:t>
      </w:r>
      <w:r>
        <w:rPr>
          <w:rFonts w:ascii="Calibri" w:cs="Calibri" w:eastAsia="Calibri" w:hAnsi="Calibri"/>
          <w:i/>
          <w:iCs/>
          <w:sz w:val="22"/>
          <w:szCs w:val="22"/>
        </w:rPr>
        <w:t xml:space="preserve">Household Food Items Toxic to Dogs and Cats</w:t>
      </w:r>
      <w:r>
        <w:rPr>
          <w:rFonts w:ascii="Calibri" w:cs="Calibri" w:eastAsia="Calibri" w:hAnsi="Calibri"/>
          <w:color w:val="336699"/>
          <w:sz w:val="20"/>
          <w:szCs w:val="20"/>
        </w:rPr>
        <w:t xml:space="preserve"> https://pmc.ncbi.nlm.nih.gov/articles/PMC4801869/</w:t>
      </w:r>
    </w:p>
    <w:p>
      <w:pPr>
        <w:spacing w:after="40"/>
        <w:ind w:left="360"/>
      </w:pPr>
      <w:r>
        <w:rPr>
          <w:rFonts w:ascii="Calibri" w:cs="Calibri" w:eastAsia="Calibri" w:hAnsi="Calibri"/>
          <w:sz w:val="22"/>
          <w:szCs w:val="22"/>
        </w:rPr>
        <w:t xml:space="preserve">Comprehensive peer-reviewed article documenting toxic foods for companion animals. Food-associated poisoning represents 14.8% of hazardous exposures, with chocolate/cocoa products most common, followed by xylitol-sweetened products, onions/garlic, grapes/raisins, macadamia nuts, and ethanol. Documents mechanisms of toxicity, clinical signs, and treatment protocols. Notes poisoning episodes generally result from lack of public knowledge.</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scientific foundation for the toxic foods guide in the chapter, including specific coverage of Australian-relevant items like macadamia nuts. Peer-reviewed evidence supports clinical recommendations for household hazards.</w:t>
      </w:r>
    </w:p>
    <w:p>
      <w:pPr>
        <w:spacing w:before="200" w:after="60"/>
      </w:pPr>
      <w:r>
        <w:rPr>
          <w:rFonts w:ascii="Calibri" w:cs="Calibri" w:eastAsia="Calibri" w:hAnsi="Calibri"/>
          <w:b/>
          <w:bCs/>
          <w:sz w:val="22"/>
          <w:szCs w:val="22"/>
        </w:rPr>
        <w:t xml:space="preserve">7. </w:t>
      </w:r>
      <w:r>
        <w:rPr>
          <w:rFonts w:ascii="Calibri" w:cs="Calibri" w:eastAsia="Calibri" w:hAnsi="Calibri"/>
          <w:b/>
          <w:bCs/>
          <w:sz w:val="22"/>
          <w:szCs w:val="22"/>
        </w:rPr>
        <w:t xml:space="preserve">Laflamme, D.P. (1997). </w:t>
      </w:r>
      <w:r>
        <w:rPr>
          <w:rFonts w:ascii="Calibri" w:cs="Calibri" w:eastAsia="Calibri" w:hAnsi="Calibri"/>
          <w:i/>
          <w:iCs/>
          <w:sz w:val="22"/>
          <w:szCs w:val="22"/>
        </w:rPr>
        <w:t xml:space="preserve">Body Condition Scoring - Development and validation of a body condition score system for dogs</w:t>
      </w:r>
      <w:r>
        <w:rPr>
          <w:rFonts w:ascii="Calibri" w:cs="Calibri" w:eastAsia="Calibri" w:hAnsi="Calibri"/>
          <w:color w:val="336699"/>
          <w:sz w:val="20"/>
          <w:szCs w:val="20"/>
        </w:rPr>
        <w:t xml:space="preserve"> Referenced in Purina Institute materials</w:t>
      </w:r>
    </w:p>
    <w:p>
      <w:pPr>
        <w:spacing w:after="40"/>
        <w:ind w:left="360"/>
      </w:pPr>
      <w:r>
        <w:rPr>
          <w:rFonts w:ascii="Calibri" w:cs="Calibri" w:eastAsia="Calibri" w:hAnsi="Calibri"/>
          <w:sz w:val="22"/>
          <w:szCs w:val="22"/>
        </w:rPr>
        <w:t xml:space="preserve">Seminal work developing the 9-point body condition scoring system now adopted by World Small Animal Veterinary Association. System evaluates fat cover through visual and tactile assessment of ribs, waist, and abdominal tuck. Score of 4-5 considered ideal. Research by Purina demonstrated that maintaining lean body condition from puppyhood can extend healthy life by up to 15%.</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validated methodology for weight monitoring discussed in chapter. Establishes evidence-based approach to assessing puppy body condition beyond simple weighing, critical for preventing overweight puppies and long-term health consequences.</w:t>
      </w:r>
    </w:p>
    <w:p>
      <w:pPr>
        <w:spacing w:before="200" w:after="60"/>
      </w:pPr>
      <w:r>
        <w:rPr>
          <w:rFonts w:ascii="Calibri" w:cs="Calibri" w:eastAsia="Calibri" w:hAnsi="Calibri"/>
          <w:b/>
          <w:bCs/>
          <w:sz w:val="22"/>
          <w:szCs w:val="22"/>
        </w:rPr>
        <w:t xml:space="preserve">8. </w:t>
      </w:r>
      <w:r>
        <w:rPr>
          <w:rFonts w:ascii="Calibri" w:cs="Calibri" w:eastAsia="Calibri" w:hAnsi="Calibri"/>
          <w:b/>
          <w:bCs/>
          <w:sz w:val="22"/>
          <w:szCs w:val="22"/>
        </w:rPr>
        <w:t xml:space="preserve">American Veterinary Medical Association (AVMA) (2012 (with ongoing updates)). </w:t>
      </w:r>
      <w:r>
        <w:rPr>
          <w:rFonts w:ascii="Calibri" w:cs="Calibri" w:eastAsia="Calibri" w:hAnsi="Calibri"/>
          <w:i/>
          <w:iCs/>
          <w:sz w:val="22"/>
          <w:szCs w:val="22"/>
        </w:rPr>
        <w:t xml:space="preserve">Raw or undercooked animal-source protein in cat and dog diets - AVMA Position Statement</w:t>
      </w:r>
      <w:r>
        <w:rPr>
          <w:rFonts w:ascii="Calibri" w:cs="Calibri" w:eastAsia="Calibri" w:hAnsi="Calibri"/>
          <w:color w:val="336699"/>
          <w:sz w:val="20"/>
          <w:szCs w:val="20"/>
        </w:rPr>
        <w:t xml:space="preserve"> https://www.avma.org/resources-tools/avma-policies/</w:t>
      </w:r>
    </w:p>
    <w:p>
      <w:pPr>
        <w:spacing w:after="40"/>
        <w:ind w:left="360"/>
      </w:pPr>
      <w:r>
        <w:rPr>
          <w:rFonts w:ascii="Calibri" w:cs="Calibri" w:eastAsia="Calibri" w:hAnsi="Calibri"/>
          <w:sz w:val="22"/>
          <w:szCs w:val="22"/>
        </w:rPr>
        <w:t xml:space="preserve">Official position statement from AVMA discouraging feeding of raw or unprocessed animal-source protein due to pathogen risks (Salmonella, E. coli, Listeria, Campylobacter). Risks include nutritional imbalances in both home-prepared and commercial raw diets, bacterial/parasitic contamination, and public health concerns. Vast majority of purported benefits remain unproven while risks are documented. Endorsed by AAHA and other veterinary organizations.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Represents mainstream veterinary position on raw feeding relevant to Australian context (noting similar positions from Canadian Veterinary Medical Association). Provides evidence-based counterpoint for chapter's non-judgmental discussion of raw feeding options while acknowledging documented risks.</w:t>
      </w:r>
    </w:p>
    <w:p>
      <w:pPr>
        <w:spacing w:before="200" w:after="60"/>
      </w:pPr>
      <w:r>
        <w:rPr>
          <w:rFonts w:ascii="Calibri" w:cs="Calibri" w:eastAsia="Calibri" w:hAnsi="Calibri"/>
          <w:b/>
          <w:bCs/>
          <w:sz w:val="22"/>
          <w:szCs w:val="22"/>
        </w:rPr>
        <w:t xml:space="preserve">9. </w:t>
      </w:r>
      <w:r>
        <w:rPr>
          <w:rFonts w:ascii="Calibri" w:cs="Calibri" w:eastAsia="Calibri" w:hAnsi="Calibri"/>
          <w:b/>
          <w:bCs/>
          <w:sz w:val="22"/>
          <w:szCs w:val="22"/>
        </w:rPr>
        <w:t xml:space="preserve">VCA Animal Hospitals - Veterinary clinical guidance (Current (regularly updated)). </w:t>
      </w:r>
      <w:r>
        <w:rPr>
          <w:rFonts w:ascii="Calibri" w:cs="Calibri" w:eastAsia="Calibri" w:hAnsi="Calibri"/>
          <w:i/>
          <w:iCs/>
          <w:sz w:val="22"/>
          <w:szCs w:val="22"/>
        </w:rPr>
        <w:t xml:space="preserve">Why Bones Are Not Safe for Dogs</w:t>
      </w:r>
      <w:r>
        <w:rPr>
          <w:rFonts w:ascii="Calibri" w:cs="Calibri" w:eastAsia="Calibri" w:hAnsi="Calibri"/>
          <w:color w:val="336699"/>
          <w:sz w:val="20"/>
          <w:szCs w:val="20"/>
        </w:rPr>
        <w:t xml:space="preserve"> https://vcahospitals.com/know-your-pet/why-bones-are-not-safe-for-dogs</w:t>
      </w:r>
    </w:p>
    <w:p>
      <w:pPr>
        <w:spacing w:after="40"/>
        <w:ind w:left="360"/>
      </w:pPr>
      <w:r>
        <w:rPr>
          <w:rFonts w:ascii="Calibri" w:cs="Calibri" w:eastAsia="Calibri" w:hAnsi="Calibri"/>
          <w:sz w:val="22"/>
          <w:szCs w:val="22"/>
        </w:rPr>
        <w:t xml:space="preserve">Clinical veterinary guidance documenting risks of both raw and cooked bones, with cooked bones presenting greater splintering danger. Documented risks include broken teeth, oral injuries, choking, esophageal obstruction, gastric/intestinal perforation, obstruction, peritonitis, constipation, and bacterial contamination (E. coli, Salmonella, Listeria). Cooked bones become brittle after heat treatment removes collagen, making them particularly prone to splintering into sharp fragments.</w:t>
      </w:r>
    </w:p>
    <w:p>
      <w:pPr>
        <w:spacing w:after="120"/>
        <w:ind w:left="360"/>
      </w:pPr>
      <w:r>
        <w:rPr>
          <w:rFonts w:ascii="Calibri" w:cs="Calibri" w:eastAsia="Calibri" w:hAnsi="Calibri"/>
          <w:b/>
          <w:bCs/>
          <w:sz w:val="20"/>
          <w:szCs w:val="20"/>
        </w:rPr>
        <w:t xml:space="preserve">Relevance: </w:t>
      </w:r>
      <w:r>
        <w:rPr>
          <w:rFonts w:ascii="Calibri" w:cs="Calibri" w:eastAsia="Calibri" w:hAnsi="Calibri"/>
          <w:i/>
          <w:iCs/>
          <w:sz w:val="20"/>
          <w:szCs w:val="20"/>
        </w:rPr>
        <w:t xml:space="preserve">Provides evidence-based veterinary position on cooked bone dangers specifically mentioned in chapter's toxic food guide. Particularly relevant to Australian context where cooked bones from BBQs and roasts present common household hazard.</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2026-02-20T00:00:55.687Z</dcterms:created>
  <dcterms:modified xsi:type="dcterms:W3CDTF">2026-02-20T00:00:55.687Z</dcterms:modified>
</cp:coreProperties>
</file>

<file path=docProps/custom.xml><?xml version="1.0" encoding="utf-8"?>
<Properties xmlns="http://schemas.openxmlformats.org/officeDocument/2006/custom-properties" xmlns:vt="http://schemas.openxmlformats.org/officeDocument/2006/docPropsVTypes"/>
</file>