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200"/>
        <w:jc w:val="center"/>
      </w:pPr>
      <w:r>
        <w:rPr>
          <w:rFonts w:ascii="Calibri" w:cs="Calibri" w:eastAsia="Calibri" w:hAnsi="Calibri"/>
          <w:b/>
          <w:bCs/>
          <w:sz w:val="26"/>
          <w:szCs w:val="26"/>
        </w:rPr>
        <w:t xml:space="preserve">Veterinary Milestones — Your Puppy's Health Roadmap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What does the term 'immunity gap' refer to in the context of puppy vaccinations?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period when maternal antibodies have declined but vaccine-induced immunity is not yet fully established</w:t>
      </w:r>
    </w:p>
    <w:p>
      <w:pPr>
        <w:spacing w:after="120"/>
        <w:ind w:left="360"/>
      </w:pPr>
      <w:r>
        <w:rPr>
          <w:rFonts w:ascii="Calibri" w:cs="Calibri" w:eastAsia="Calibri" w:hAnsi="Calibri"/>
          <w:i/>
          <w:iCs/>
          <w:sz w:val="20"/>
          <w:szCs w:val="20"/>
        </w:rPr>
        <w:t xml:space="preserve">The immunity gap is the vulnerable window between the waning of maternal antibodies (passed from the mother) and the point at which the puppy's own immune system has mounted a full response to vaccination. During this period, the puppy is most susceptible to infectious disease, which is why multiple vaccine doses are given in a series.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waiting period between each vaccine dose that allows the immune system to rest</w:t>
      </w:r>
    </w:p>
    <w:p>
      <w:pPr>
        <w:spacing w:after="80"/>
        <w:ind w:left="360"/>
      </w:pPr>
      <w:r>
        <w:rPr>
          <w:rFonts w:ascii="Calibri" w:cs="Calibri" w:eastAsia="Calibri" w:hAnsi="Calibri"/>
          <w:i/>
          <w:iCs/>
          <w:sz w:val="20"/>
          <w:szCs w:val="20"/>
        </w:rPr>
        <w:t xml:space="preserve">Students may confuse the spacing between vaccine doses with the immunity gap concept. The gap refers specifically to the vulnerability window caused by declining maternal antibodies, not the interval between injections.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difference in immune protection between core and non-core vaccines</w:t>
      </w:r>
    </w:p>
    <w:p>
      <w:pPr>
        <w:spacing w:after="80"/>
        <w:ind w:left="360"/>
      </w:pPr>
      <w:r>
        <w:rPr>
          <w:rFonts w:ascii="Calibri" w:cs="Calibri" w:eastAsia="Calibri" w:hAnsi="Calibri"/>
          <w:i/>
          <w:iCs/>
          <w:sz w:val="20"/>
          <w:szCs w:val="20"/>
        </w:rPr>
        <w:t xml:space="preserve">This confuses vaccine classification with the immunity gap. Core versus non-core describes which diseases all puppies should be protected against versus those based on lifestyle, not a vulnerability window.</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reduced effectiveness of vaccines in puppies younger than six weeks old</w:t>
      </w:r>
    </w:p>
    <w:p>
      <w:pPr>
        <w:spacing w:after="80"/>
        <w:ind w:left="360"/>
      </w:pPr>
      <w:r>
        <w:rPr>
          <w:rFonts w:ascii="Calibri" w:cs="Calibri" w:eastAsia="Calibri" w:hAnsi="Calibri"/>
          <w:i/>
          <w:iCs/>
          <w:sz w:val="20"/>
          <w:szCs w:val="20"/>
        </w:rPr>
        <w:t xml:space="preserve">While very young puppies do have high levels of maternal antibodies that can interfere with vaccination, the immunity gap is not defined by a specific age cutoff. It refers to the transitional period of vulnerability that varies between individual puppies as maternal antibodies decline.</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A new puppy owner living in coastal Queensland asks whether they really need tick prevention year-round. Which response best reflects the guidance in this chapter?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Yes, because the paralysis tick (Ixodes holocyclus) is endemic to the east coast of Australia and poses a serious, potentially fatal threat throughout the year</w:t>
      </w:r>
    </w:p>
    <w:p>
      <w:pPr>
        <w:spacing w:after="120"/>
        <w:ind w:left="360"/>
      </w:pPr>
      <w:r>
        <w:rPr>
          <w:rFonts w:ascii="Calibri" w:cs="Calibri" w:eastAsia="Calibri" w:hAnsi="Calibri"/>
          <w:i/>
          <w:iCs/>
          <w:sz w:val="20"/>
          <w:szCs w:val="20"/>
        </w:rPr>
        <w:t xml:space="preserve">Ixodes holocyclus, the paralysis tick, is a specific and serious threat on Australia's eastern seaboard. In subtropical and tropical areas like coastal Queensland, tick exposure can occur year-round. Tick paralysis can be fatal, making consistent prevention essential rather than optional for dogs in these regions.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Only during the warmer months from October to March, as paralysis ticks are dormant in cooler weather and are rarely active during winter</w:t>
      </w:r>
    </w:p>
    <w:p>
      <w:pPr>
        <w:spacing w:after="80"/>
        <w:ind w:left="360"/>
      </w:pPr>
      <w:r>
        <w:rPr>
          <w:rFonts w:ascii="Calibri" w:cs="Calibri" w:eastAsia="Calibri" w:hAnsi="Calibri"/>
          <w:i/>
          <w:iCs/>
          <w:sz w:val="20"/>
          <w:szCs w:val="20"/>
        </w:rPr>
        <w:t xml:space="preserve">Students might assume ticks follow a strict seasonal pattern as in some other regions. While tick activity may peak in warmer months, paralysis ticks on the east coast of Australia can be active year-round, especially in subtropical and tropical areas, making seasonal-only prevention inadequate.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No, because modern heartworm preventatives also provide full protection against paralysis ticks</w:t>
      </w:r>
    </w:p>
    <w:p>
      <w:pPr>
        <w:spacing w:after="80"/>
        <w:ind w:left="360"/>
      </w:pPr>
      <w:r>
        <w:rPr>
          <w:rFonts w:ascii="Calibri" w:cs="Calibri" w:eastAsia="Calibri" w:hAnsi="Calibri"/>
          <w:i/>
          <w:iCs/>
          <w:sz w:val="20"/>
          <w:szCs w:val="20"/>
        </w:rPr>
        <w:t xml:space="preserve">This reflects a dangerous misconception that one parasite product covers all threats. Heartworm prevention and tick prevention are separate concerns requiring different products. Assuming heartworm medication covers ticks could leave a dog fatally unprotected.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Only if the dog spends time in bushland, since paralysis ticks are not found in suburban backyards</w:t>
      </w:r>
    </w:p>
    <w:p>
      <w:pPr>
        <w:spacing w:after="80"/>
        <w:ind w:left="360"/>
      </w:pPr>
      <w:r>
        <w:rPr>
          <w:rFonts w:ascii="Calibri" w:cs="Calibri" w:eastAsia="Calibri" w:hAnsi="Calibri"/>
          <w:i/>
          <w:iCs/>
          <w:sz w:val="20"/>
          <w:szCs w:val="20"/>
        </w:rPr>
        <w:t xml:space="preserve">Students might assume ticks are only a bushland problem. Paralysis ticks are carried by wildlife such as bandicoots and possums that move through suburban gardens, meaning dogs in residential areas on the east coast are also at significant risk.</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Which combination represents the three diseases covered by the C3 core vaccine for puppies in Australia?</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Distemper, hepatitis, and parvovirus</w:t>
      </w:r>
    </w:p>
    <w:p>
      <w:pPr>
        <w:spacing w:after="120"/>
        <w:ind w:left="360"/>
      </w:pPr>
      <w:r>
        <w:rPr>
          <w:rFonts w:ascii="Calibri" w:cs="Calibri" w:eastAsia="Calibri" w:hAnsi="Calibri"/>
          <w:i/>
          <w:iCs/>
          <w:sz w:val="20"/>
          <w:szCs w:val="20"/>
        </w:rPr>
        <w:t xml:space="preserve">The C3 vaccine is the core vaccine recommended for all puppies in Australia. It protects against canine distemper virus, infectious canine hepatitis (adenovirus), and canine parvovirus — three serious and potentially fatal diseases. These are considered core because every dog should be vaccinated against them regardless of lifestyle.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Distemper, parvovirus, and kennel cough</w:t>
      </w:r>
    </w:p>
    <w:p>
      <w:pPr>
        <w:spacing w:after="80"/>
        <w:ind w:left="360"/>
      </w:pPr>
      <w:r>
        <w:rPr>
          <w:rFonts w:ascii="Calibri" w:cs="Calibri" w:eastAsia="Calibri" w:hAnsi="Calibri"/>
          <w:i/>
          <w:iCs/>
          <w:sz w:val="20"/>
          <w:szCs w:val="20"/>
        </w:rPr>
        <w:t xml:space="preserve">Kennel cough (caused by Bordetella bronchiseptica and parainfluenza virus) is classified as a non-core vaccine, recommended based on lifestyle and exposure risk such as boarding or doggy daycare. It is not part of the C3 core vaccine.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Parvovirus, leptospirosis, and hepatitis</w:t>
      </w:r>
    </w:p>
    <w:p>
      <w:pPr>
        <w:spacing w:after="80"/>
        <w:ind w:left="360"/>
      </w:pPr>
      <w:r>
        <w:rPr>
          <w:rFonts w:ascii="Calibri" w:cs="Calibri" w:eastAsia="Calibri" w:hAnsi="Calibri"/>
          <w:i/>
          <w:iCs/>
          <w:sz w:val="20"/>
          <w:szCs w:val="20"/>
        </w:rPr>
        <w:t xml:space="preserve">Leptospirosis is a non-core vaccine in Australia, recommended based on regional risk and lifestyle factors rather than for all puppies. The C3 includes distemper rather than leptospirosis.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Hepatitis, distemper, and parainfluenza</w:t>
      </w:r>
    </w:p>
    <w:p>
      <w:pPr>
        <w:spacing w:after="80"/>
        <w:ind w:left="360"/>
      </w:pPr>
      <w:r>
        <w:rPr>
          <w:rFonts w:ascii="Calibri" w:cs="Calibri" w:eastAsia="Calibri" w:hAnsi="Calibri"/>
          <w:i/>
          <w:iCs/>
          <w:sz w:val="20"/>
          <w:szCs w:val="20"/>
        </w:rPr>
        <w:t xml:space="preserve">Parainfluenza is a component of kennel cough vaccination and is considered non-core. While it is sometimes included in combination vaccines (such as C5), the C3 specifically covers distemper, hepatitis, and parvovirus.</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 puppy owner wants to begin puppy classes at 9 weeks of age but the puppy has only had its first vaccination. Based on the chapter's approach to balancing socialisation and disease risk, what is the most appropriate recommendation?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Attend well-managed puppy classes where all puppies are age-matched and have at least their first vaccination, since the socialisation benefits during the critical period outweigh the managed disease risk</w:t>
      </w:r>
    </w:p>
    <w:p>
      <w:pPr>
        <w:spacing w:after="120"/>
        <w:ind w:left="360"/>
      </w:pPr>
      <w:r>
        <w:rPr>
          <w:rFonts w:ascii="Calibri" w:cs="Calibri" w:eastAsia="Calibri" w:hAnsi="Calibri"/>
          <w:i/>
          <w:iCs/>
          <w:sz w:val="20"/>
          <w:szCs w:val="20"/>
        </w:rPr>
        <w:t xml:space="preserve">The chapter explicitly addresses the tension between 'socialise early' and 'protect from disease.' Current guidance supports attending controlled puppy classes before the vaccination series is complete because the critical socialisation window closes rapidly, and the behavioural risks of inadequate socialisation can be as serious as the managed disease risk in appropriate settings.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Wait until two weeks after the final vaccination before any exposure to unfamiliar dogs, to ensure complete immune protection, as this timing aligns with recognised immunity protocols</w:t>
      </w:r>
    </w:p>
    <w:p>
      <w:pPr>
        <w:spacing w:after="80"/>
        <w:ind w:left="360"/>
      </w:pPr>
      <w:r>
        <w:rPr>
          <w:rFonts w:ascii="Calibri" w:cs="Calibri" w:eastAsia="Calibri" w:hAnsi="Calibri"/>
          <w:i/>
          <w:iCs/>
          <w:sz w:val="20"/>
          <w:szCs w:val="20"/>
        </w:rPr>
        <w:t xml:space="preserve">This overly cautious approach was historically common but conflicts with current understanding of the critical socialisation period. Delaying all dog-to-dog interaction until full vaccination is complete risks missing the socialisation window, potentially leading to serious behavioural problems that are harder to address than the managed disease risk.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Take the puppy to a busy dog park instead of formal classes, since natural social exposure is more beneficial than structured settings</w:t>
      </w:r>
    </w:p>
    <w:p>
      <w:pPr>
        <w:spacing w:after="80"/>
        <w:ind w:left="360"/>
      </w:pPr>
      <w:r>
        <w:rPr>
          <w:rFonts w:ascii="Calibri" w:cs="Calibri" w:eastAsia="Calibri" w:hAnsi="Calibri"/>
          <w:i/>
          <w:iCs/>
          <w:sz w:val="20"/>
          <w:szCs w:val="20"/>
        </w:rPr>
        <w:t xml:space="preserve">Dog parks are uncontrolled environments where vaccination status of other dogs is unknown, ground contamination is likely, and interactions are unpredictable. This represents a genuinely high disease risk unlike the managed environment of a well-run puppy class.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Only socialise the puppy with adult dogs that are fully vaccinated, as puppies cannot safely interact with other puppies until all vaccinations are complete</w:t>
      </w:r>
    </w:p>
    <w:p>
      <w:pPr>
        <w:spacing w:after="80"/>
        <w:ind w:left="360"/>
      </w:pPr>
      <w:r>
        <w:rPr>
          <w:rFonts w:ascii="Calibri" w:cs="Calibri" w:eastAsia="Calibri" w:hAnsi="Calibri"/>
          <w:i/>
          <w:iCs/>
          <w:sz w:val="20"/>
          <w:szCs w:val="20"/>
        </w:rPr>
        <w:t xml:space="preserve">While interaction with known vaccinated adult dogs can be valuable, restricting a puppy exclusively to adult dog interactions misses the important developmental benefits of puppy-to-puppy play. The chapter supports managed puppy-to-puppy socialisation in controlled class settings.</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What is the primary goal of cooperative care in the context of veterinary visits?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Giving the puppy a degree of agency and choice in their own handling and veterinary experiences</w:t>
      </w:r>
    </w:p>
    <w:p>
      <w:pPr>
        <w:spacing w:after="120"/>
        <w:ind w:left="360"/>
      </w:pPr>
      <w:r>
        <w:rPr>
          <w:rFonts w:ascii="Calibri" w:cs="Calibri" w:eastAsia="Calibri" w:hAnsi="Calibri"/>
          <w:i/>
          <w:iCs/>
          <w:sz w:val="20"/>
          <w:szCs w:val="20"/>
        </w:rPr>
        <w:t xml:space="preserve">Cooperative care is built on the principle that animals can be trained to voluntarily participate in their own care rather than simply being restrained and subjected to procedures. By giving the puppy agency — such as the ability to signal readiness or withdraw — the experience becomes less stressful and builds trust, leading to better veterinary experiences throughout the dog's life.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Teaching the puppy to remain completely still and compliant during all veterinary procedures through obedience commands</w:t>
      </w:r>
    </w:p>
    <w:p>
      <w:pPr>
        <w:spacing w:after="80"/>
        <w:ind w:left="360"/>
      </w:pPr>
      <w:r>
        <w:rPr>
          <w:rFonts w:ascii="Calibri" w:cs="Calibri" w:eastAsia="Calibri" w:hAnsi="Calibri"/>
          <w:i/>
          <w:iCs/>
          <w:sz w:val="20"/>
          <w:szCs w:val="20"/>
        </w:rPr>
        <w:t xml:space="preserve">This describes forced compliance or trained stillness, which is fundamentally different from cooperative care. Cooperative care emphasises the animal's voluntary participation and emotional comfort, not just physical compliance. A dog that is still but terrified is not experiencing cooperative care.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Ensuring the veterinarian uses treats during examinations so the puppy associates the clinic with food</w:t>
      </w:r>
    </w:p>
    <w:p>
      <w:pPr>
        <w:spacing w:after="80"/>
        <w:ind w:left="360"/>
      </w:pPr>
      <w:r>
        <w:rPr>
          <w:rFonts w:ascii="Calibri" w:cs="Calibri" w:eastAsia="Calibri" w:hAnsi="Calibri"/>
          <w:i/>
          <w:iCs/>
          <w:sz w:val="20"/>
          <w:szCs w:val="20"/>
        </w:rPr>
        <w:t xml:space="preserve">While treats may be part of a cooperative care protocol, simply giving treats during procedures is closer to basic counter-conditioning. Cooperative care specifically involves giving the animal choice and control — the ability to opt in or out — which goes beyond just pairing food with the experience.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Gradually exposing the puppy to the veterinary clinic environment until they no longer react to any stimuli</w:t>
      </w:r>
    </w:p>
    <w:p>
      <w:pPr>
        <w:spacing w:after="80"/>
        <w:ind w:left="360"/>
      </w:pPr>
      <w:r>
        <w:rPr>
          <w:rFonts w:ascii="Calibri" w:cs="Calibri" w:eastAsia="Calibri" w:hAnsi="Calibri"/>
          <w:i/>
          <w:iCs/>
          <w:sz w:val="20"/>
          <w:szCs w:val="20"/>
        </w:rPr>
        <w:t xml:space="preserve">This describes systematic desensitisation, which is a related but distinct technique. Cooperative care is specifically about giving the puppy agency in their experiences, not simply habituating them to stimuli until they stop reacting. A non-reactive dog is not necessarily a willing participant.</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Which of the following signs should an east coast Australian dog owner recognise as a potential early indicator of tick paralysis?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change in the dog's bark or voice, wobbliness in the hind legs, or gagging and difficulty swallowing</w:t>
      </w:r>
    </w:p>
    <w:p>
      <w:pPr>
        <w:spacing w:after="120"/>
        <w:ind w:left="360"/>
      </w:pPr>
      <w:r>
        <w:rPr>
          <w:rFonts w:ascii="Calibri" w:cs="Calibri" w:eastAsia="Calibri" w:hAnsi="Calibri"/>
          <w:i/>
          <w:iCs/>
          <w:sz w:val="20"/>
          <w:szCs w:val="20"/>
        </w:rPr>
        <w:t xml:space="preserve">Tick paralysis caused by Ixodes holocyclus typically presents with progressive ascending paralysis. Early signs include a voice change (altered bark), weakness or wobbliness starting in the hind legs, and difficulty swallowing or regurgitation. Recognising these early signs is critical because tick paralysis can be fatal if not treated promptly.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Intense scratching at the tick attachment site, localised swelling, and a visible skin rash, which are more typical of other parasitic skin conditions</w:t>
      </w:r>
    </w:p>
    <w:p>
      <w:pPr>
        <w:spacing w:after="80"/>
        <w:ind w:left="360"/>
      </w:pPr>
      <w:r>
        <w:rPr>
          <w:rFonts w:ascii="Calibri" w:cs="Calibri" w:eastAsia="Calibri" w:hAnsi="Calibri"/>
          <w:i/>
          <w:iCs/>
          <w:sz w:val="20"/>
          <w:szCs w:val="20"/>
        </w:rPr>
        <w:t xml:space="preserve">These symptoms describe a local inflammatory or allergic skin reaction to a tick bite, not tick paralysis. Paralysis tick toxin causes systemic neurological effects rather than primarily local skin reactions. A dog can develop life-threatening paralysis with minimal local irritation at the bite site.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Sudden onset of high fever, bloody diarrhoea, and refusal to eat</w:t>
      </w:r>
    </w:p>
    <w:p>
      <w:pPr>
        <w:spacing w:after="80"/>
        <w:ind w:left="360"/>
      </w:pPr>
      <w:r>
        <w:rPr>
          <w:rFonts w:ascii="Calibri" w:cs="Calibri" w:eastAsia="Calibri" w:hAnsi="Calibri"/>
          <w:i/>
          <w:iCs/>
          <w:sz w:val="20"/>
          <w:szCs w:val="20"/>
        </w:rPr>
        <w:t xml:space="preserve">These symptoms are more consistent with a systemic infection such as parvovirus or a tick-borne blood parasite (like ehrlichiosis) rather than paralysis tick toxin. Tick paralysis is a neurotoxic condition that affects the nervous system, producing motor and swallowing dysfunction rather than fever and gastrointestinal signs.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Excessive thirst, frequent urination, and rapid weight loss over several days</w:t>
      </w:r>
    </w:p>
    <w:p>
      <w:pPr>
        <w:spacing w:after="80"/>
        <w:ind w:left="360"/>
      </w:pPr>
      <w:r>
        <w:rPr>
          <w:rFonts w:ascii="Calibri" w:cs="Calibri" w:eastAsia="Calibri" w:hAnsi="Calibri"/>
          <w:i/>
          <w:iCs/>
          <w:sz w:val="20"/>
          <w:szCs w:val="20"/>
        </w:rPr>
        <w:t xml:space="preserve">These signs are more suggestive of metabolic conditions such as diabetes or kidney disease. Tick paralysis is an acute neurological condition that progresses over hours to days and primarily affects muscle function and breathing, not metabolic processes like thirst and urination.</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The chapter presents the desexing decision as a framework rather than a single recommendation. Which statement best reflects this approach?</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Responsible owners may make different evidence-based choices about desexing timing based on their dog's breed, size, health considerations, and local council requirements</w:t>
      </w:r>
    </w:p>
    <w:p>
      <w:pPr>
        <w:spacing w:after="120"/>
        <w:ind w:left="360"/>
      </w:pPr>
      <w:r>
        <w:rPr>
          <w:rFonts w:ascii="Calibri" w:cs="Calibri" w:eastAsia="Calibri" w:hAnsi="Calibri"/>
          <w:i/>
          <w:iCs/>
          <w:sz w:val="20"/>
          <w:szCs w:val="20"/>
        </w:rPr>
        <w:t xml:space="preserve">The chapter deliberately avoids prescribing a single correct answer for desexing timing. Instead, it presents the current evidence — including health considerations, behavioural factors, breed-specific research, and varying state and council legal requirements — as inputs into an informed decision. This respects that the optimal choice may genuinely differ between individual dogs and circumstances.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All puppies should be desexed at six months of age as this is the universally recommended standard in Australian veterinary medicine</w:t>
      </w:r>
    </w:p>
    <w:p>
      <w:pPr>
        <w:spacing w:after="80"/>
        <w:ind w:left="360"/>
      </w:pPr>
      <w:r>
        <w:rPr>
          <w:rFonts w:ascii="Calibri" w:cs="Calibri" w:eastAsia="Calibri" w:hAnsi="Calibri"/>
          <w:i/>
          <w:iCs/>
          <w:sz w:val="20"/>
          <w:szCs w:val="20"/>
        </w:rPr>
        <w:t xml:space="preserve">While six months was historically the traditional recommendation, the chapter acknowledges that emerging research suggests optimal timing may vary by breed, size, and sex. Presenting a single universal recommendation contradicts the decision-framework approach the chapter explicitly adopts.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Desexing should be delayed as long as possible in all breeds because recent research shows it always causes more harm than benefit when done early</w:t>
      </w:r>
    </w:p>
    <w:p>
      <w:pPr>
        <w:spacing w:after="80"/>
        <w:ind w:left="360"/>
      </w:pPr>
      <w:r>
        <w:rPr>
          <w:rFonts w:ascii="Calibri" w:cs="Calibri" w:eastAsia="Calibri" w:hAnsi="Calibri"/>
          <w:i/>
          <w:iCs/>
          <w:sz w:val="20"/>
          <w:szCs w:val="20"/>
        </w:rPr>
        <w:t xml:space="preserve">This overgeneralises the research on desexing timing. While some studies suggest benefits to delaying desexing in certain large breeds, the evidence does not support a blanket recommendation to delay for all dogs. The chapter's framework weighs multiple factors rather than making a universal claim.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decision should be left entirely to the veterinarian because owners lack the expertise to evaluate the medical evidence</w:t>
      </w:r>
    </w:p>
    <w:p>
      <w:pPr>
        <w:spacing w:after="80"/>
        <w:ind w:left="360"/>
      </w:pPr>
      <w:r>
        <w:rPr>
          <w:rFonts w:ascii="Calibri" w:cs="Calibri" w:eastAsia="Calibri" w:hAnsi="Calibri"/>
          <w:i/>
          <w:iCs/>
          <w:sz w:val="20"/>
          <w:szCs w:val="20"/>
        </w:rPr>
        <w:t xml:space="preserve">While veterinary advice is crucial, the chapter empowers owners to be informed participants in the decision. The framework approach encourages owners to understand the evidence, consider their individual circumstances including council regulations, and make the decision collaboratively with their vet — not defer entirely.</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 puppy freezes, tucks its tail, and shows whale eye when the veterinarian reaches toward it during a routine check-up. Drawing on the chapter's integration of body language reading and cooperative care, what is the most appropriate next step?</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Pause the interaction, give the puppy space to recover, and use a slower approach with counter-conditioning before attempting to proceed</w:t>
      </w:r>
    </w:p>
    <w:p>
      <w:pPr>
        <w:spacing w:after="120"/>
        <w:ind w:left="360"/>
      </w:pPr>
      <w:r>
        <w:rPr>
          <w:rFonts w:ascii="Calibri" w:cs="Calibri" w:eastAsia="Calibri" w:hAnsi="Calibri"/>
          <w:i/>
          <w:iCs/>
          <w:sz w:val="20"/>
          <w:szCs w:val="20"/>
        </w:rPr>
        <w:t xml:space="preserve">The body language described — freezing, tail tuck, and whale eye — are clear stress signals indicating the puppy is fearful and not coping. The chapter connects body language reading skills to veterinary contexts and advocates for recognising these signals and responding with systematic desensitisation and counter-conditioning rather than pushing through the procedure, which would worsen future veterinary experiences.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Have the owner hold the puppy firmly while the vet completes the examination quickly to minimise the duration of stress</w:t>
      </w:r>
    </w:p>
    <w:p>
      <w:pPr>
        <w:spacing w:after="80"/>
        <w:ind w:left="360"/>
      </w:pPr>
      <w:r>
        <w:rPr>
          <w:rFonts w:ascii="Calibri" w:cs="Calibri" w:eastAsia="Calibri" w:hAnsi="Calibri"/>
          <w:i/>
          <w:iCs/>
          <w:sz w:val="20"/>
          <w:szCs w:val="20"/>
        </w:rPr>
        <w:t xml:space="preserve">Physically restraining a frightened puppy and rushing through the procedure may complete the immediate task but teaches the puppy that its distress signals are ignored. This approach undermines cooperative care principles and is likely to make the puppy more fearful at future veterinary visits, creating a worsening cycle.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Redirect the puppy's attention with a high-value reward to override its fear response and allow the examination to proceed</w:t>
      </w:r>
    </w:p>
    <w:p>
      <w:pPr>
        <w:spacing w:after="80"/>
        <w:ind w:left="360"/>
      </w:pPr>
      <w:r>
        <w:rPr>
          <w:rFonts w:ascii="Calibri" w:cs="Calibri" w:eastAsia="Calibri" w:hAnsi="Calibri"/>
          <w:i/>
          <w:iCs/>
          <w:sz w:val="20"/>
          <w:szCs w:val="20"/>
        </w:rPr>
        <w:t xml:space="preserve">While distraction can sometimes be part of a management strategy, using a toy to override visible fear signals does not address the puppy's underlying emotional state. The chapter emphasises recognising and responding to stress signals rather than masking them, and cooperative care requires genuine emotional comfort, not just behavioural distraction.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Immediately end the visit and reschedule for a time when the puppy is naturally calmer, avoiding any further handling today</w:t>
      </w:r>
    </w:p>
    <w:p>
      <w:pPr>
        <w:spacing w:after="80"/>
        <w:ind w:left="360"/>
      </w:pPr>
      <w:r>
        <w:rPr>
          <w:rFonts w:ascii="Calibri" w:cs="Calibri" w:eastAsia="Calibri" w:hAnsi="Calibri"/>
          <w:i/>
          <w:iCs/>
          <w:sz w:val="20"/>
          <w:szCs w:val="20"/>
        </w:rPr>
        <w:t xml:space="preserve">While stopping is better than forcing, completely abandoning the visit without any positive recovery steps misses a training opportunity. The chapter advocates pausing, allowing recovery, and then re-approaching at the puppy's pace with counter-conditioning — building positive associations rather than simply avoiding the situation.</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Why are multiple doses of the core puppy vaccine given in a series rather than as a single injection?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Because varying levels of maternal antibodies between individual puppies can neutralise vaccine antigens, and repeated doses ensure at least one is given after maternal antibodies have declined enough to allow an immune response</w:t>
      </w:r>
    </w:p>
    <w:p>
      <w:pPr>
        <w:spacing w:after="120"/>
        <w:ind w:left="360"/>
      </w:pPr>
      <w:r>
        <w:rPr>
          <w:rFonts w:ascii="Calibri" w:cs="Calibri" w:eastAsia="Calibri" w:hAnsi="Calibri"/>
          <w:i/>
          <w:iCs/>
          <w:sz w:val="20"/>
          <w:szCs w:val="20"/>
        </w:rPr>
        <w:t xml:space="preserve">Maternal antibodies, while protective, can also interfere with the puppy's ability to respond to a vaccine. Since the exact timing of maternal antibody decline varies between individual puppies, a series of vaccinations is given to ensure that at least one dose falls within the window where maternal antibodies are low enough to allow the puppy's own immune system to mount a lasting response.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each dose in the series contains a different strain of the virus, and all strains are needed for complete protection, as field strains can vary geographically and change seasonally</w:t>
      </w:r>
    </w:p>
    <w:p>
      <w:pPr>
        <w:spacing w:after="80"/>
        <w:ind w:left="360"/>
      </w:pPr>
      <w:r>
        <w:rPr>
          <w:rFonts w:ascii="Calibri" w:cs="Calibri" w:eastAsia="Calibri" w:hAnsi="Calibri"/>
          <w:i/>
          <w:iCs/>
          <w:sz w:val="20"/>
          <w:szCs w:val="20"/>
        </w:rPr>
        <w:t xml:space="preserve">This is a common misconception. Each dose in the puppy vaccination series contains the same antigens. The purpose of multiple doses is not to introduce different strains but to ensure effective immune stimulation despite the unpredictable timing of maternal antibody decline.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a puppy's immune system is too immature to produce any antibodies until at least 12 weeks of age, so earlier doses serve only as primers</w:t>
      </w:r>
    </w:p>
    <w:p>
      <w:pPr>
        <w:spacing w:after="80"/>
        <w:ind w:left="360"/>
      </w:pPr>
      <w:r>
        <w:rPr>
          <w:rFonts w:ascii="Calibri" w:cs="Calibri" w:eastAsia="Calibri" w:hAnsi="Calibri"/>
          <w:i/>
          <w:iCs/>
          <w:sz w:val="20"/>
          <w:szCs w:val="20"/>
        </w:rPr>
        <w:t xml:space="preserve">Puppies can mount immune responses before 12 weeks — the challenge is that maternal antibodies may block this response in some puppies at earlier ages. The immune system is not simply too immature; rather, it is the interference from maternal antibodies that necessitates the series.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the first dose creates short-term immunity that fades within weeks, and subsequent doses are needed to maintain continuous protection until the annual booster</w:t>
      </w:r>
    </w:p>
    <w:p>
      <w:pPr>
        <w:spacing w:after="80"/>
        <w:ind w:left="360"/>
      </w:pPr>
      <w:r>
        <w:rPr>
          <w:rFonts w:ascii="Calibri" w:cs="Calibri" w:eastAsia="Calibri" w:hAnsi="Calibri"/>
          <w:i/>
          <w:iCs/>
          <w:sz w:val="20"/>
          <w:szCs w:val="20"/>
        </w:rPr>
        <w:t xml:space="preserve">This confuses the concept of booster vaccinations with the puppy series. The purpose of multiple puppy doses is not to maintain fading short-term immunity but to overcome the variable interference of maternal antibodies. Once a vaccine successfully stimulates the puppy's immune system, that dose alone can produce lasting immunity.</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An owner notices their 14-week-old puppy has been vomiting repeatedly for the past four hours and appears increasingly lethargic. Based on the chapter's 'when to worry' framework, how should this situation be classified?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As an urgent situation warranting an immediate veterinary visit, because persistent vomiting combined with lethargy in a young puppy can indicate serious conditions including parvovirus</w:t>
      </w:r>
    </w:p>
    <w:p>
      <w:pPr>
        <w:spacing w:after="120"/>
        <w:ind w:left="360"/>
      </w:pPr>
      <w:r>
        <w:rPr>
          <w:rFonts w:ascii="Calibri" w:cs="Calibri" w:eastAsia="Calibri" w:hAnsi="Calibri"/>
          <w:i/>
          <w:iCs/>
          <w:sz w:val="20"/>
          <w:szCs w:val="20"/>
        </w:rPr>
        <w:t xml:space="preserve">The chapter's 'when to worry' guide helps owners distinguish between urgent and routine concerns. Repeated vomiting over several hours combined with progressive lethargy in a young puppy — particularly one that may still be in the immunity gap — is a red flag for serious conditions such as parvovirus, foreign body obstruction, or toxin ingestion. This combination of signs requires prompt veterinary assessment, not a wait-and-see approach.</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As a routine concern that can wait for the next scheduled veterinary appointment, since puppies commonly vomit due to dietary indiscretion</w:t>
      </w:r>
    </w:p>
    <w:p>
      <w:pPr>
        <w:spacing w:after="80"/>
        <w:ind w:left="360"/>
      </w:pPr>
      <w:r>
        <w:rPr>
          <w:rFonts w:ascii="Calibri" w:cs="Calibri" w:eastAsia="Calibri" w:hAnsi="Calibri"/>
          <w:i/>
          <w:iCs/>
          <w:sz w:val="20"/>
          <w:szCs w:val="20"/>
        </w:rPr>
        <w:t xml:space="preserve">While occasional vomiting can be benign, the combination of persistent vomiting over four hours with increasing lethargy significantly elevates the concern level. The chapter's framework distinguishes between isolated mild signs that can wait and progressive or combined signs that require urgent attention. Dismissing this as routine could be life-threatening.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As a situation best managed at home with a 24-hour fasting period and gradual reintroduction of bland food before seeking veterinary advice</w:t>
      </w:r>
    </w:p>
    <w:p>
      <w:pPr>
        <w:spacing w:after="80"/>
        <w:ind w:left="360"/>
      </w:pPr>
      <w:r>
        <w:rPr>
          <w:rFonts w:ascii="Calibri" w:cs="Calibri" w:eastAsia="Calibri" w:hAnsi="Calibri"/>
          <w:i/>
          <w:iCs/>
          <w:sz w:val="20"/>
          <w:szCs w:val="20"/>
        </w:rPr>
        <w:t xml:space="preserve">Home management with fasting might be appropriate for a single vomiting episode in an otherwise bright adult dog, but a 14-week-old puppy showing progressive lethargy alongside persistent vomiting is in a different risk category. Young puppies dehydrate rapidly and are vulnerable to serious infections during the immunity gap. Delaying veterinary care for 24 hours could be dangerous.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As concerning but manageable by monitoring overnight and visiting the vet first thing in the morning if symptoms have not resolved</w:t>
      </w:r>
    </w:p>
    <w:p>
      <w:pPr>
        <w:spacing w:after="80"/>
        <w:ind w:left="360"/>
      </w:pPr>
      <w:r>
        <w:rPr>
          <w:rFonts w:ascii="Calibri" w:cs="Calibri" w:eastAsia="Calibri" w:hAnsi="Calibri"/>
          <w:i/>
          <w:iCs/>
          <w:sz w:val="20"/>
          <w:szCs w:val="20"/>
        </w:rPr>
        <w:t xml:space="preserve">Waiting overnight with a progressively lethargic, persistently vomiting young puppy is risky. Puppies can deteriorate rapidly, especially from conditions like parvovirus or intestinal obstruction. The chapter's framework aims to prevent exactly this kind of delayed response by identifying progressive combined symptoms as indicators for immediate veterinary attention.</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2026-02-20T01:13:21.778Z</dcterms:created>
  <dcterms:modified xsi:type="dcterms:W3CDTF">2026-02-20T01:13:21.778Z</dcterms:modified>
</cp:coreProperties>
</file>

<file path=docProps/custom.xml><?xml version="1.0" encoding="utf-8"?>
<Properties xmlns="http://schemas.openxmlformats.org/officeDocument/2006/custom-properties" xmlns:vt="http://schemas.openxmlformats.org/officeDocument/2006/docPropsVTypes"/>
</file>