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Puppy School: An Evidence-Based Guide to Raising a Happy, Healthy Dog</w:t>
      </w:r>
    </w:p>
    <w:p>
      <w:pPr>
        <w:spacing w:after="200"/>
        <w:jc w:val="center"/>
      </w:pPr>
      <w:r>
        <w:rPr>
          <w:rFonts w:ascii="Calibri" w:cs="Calibri" w:eastAsia="Calibri" w:hAnsi="Calibri"/>
          <w:sz w:val="24"/>
          <w:szCs w:val="24"/>
        </w:rPr>
        <w:t xml:space="preserve">Veterinary Milestones — Your Puppy's Health Roadmap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a comprehensive, evidence-based foundation for all four key concepts in the chapter. The AVSAB position statement (2008/2014) is critical for resolving the central tension between early socialization and vaccination protection - it establishes that behavioral risks outweigh infection risks when appropriate precautions are taken, directly supporting the chapter's connection to safe socialization before vaccination completion. The Australian paralysis tick research (PMC 2014, Roeber &amp; Webster 2021) provides the essential Australian-specific context for parasite prevention, documenting the unique danger of I. holocyclus on the east coast and the critical 'when to worry' signs that distinguish this species from other paralysis ticks worldwide. The Hart et al. research series (2013, 2020) fundamentally supports the chapter's presentation of desexing as a decision-making framework rather than prescription, with robust evidence that timing effects vary dramatically by breed size, sex, and individual factors - this allows responsible owners to make different evidence-based choices as stated in the chapter description. The cooperative care literature (Jones 2018, Stellato et al. 2022) bridges the behavioral training concepts from earlier chapters to the veterinary context, providing both the philosophical framework (agency, choice, trust-building) and empirical evidence (with realistic acknowledgment of challenges) for making veterinary visits positive experiences. Together, these sources enable the chapter to deliver on its promise of connecting veterinary health milestones to broader puppy development, grounding all recommendations in current Australian veterinary guidelines and research while acknowledging complexity and individual variation. The pedagogical takeaway is that veterinary care is not separate from training and socialization but deeply integrated with it - every vet visit is a learning opportunity that shapes the puppy's lifelong relationship with handling, restraint, and care procedures.</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American Veterinary Society of Animal Behavior (2008 (updated 2014)). </w:t>
      </w:r>
      <w:r>
        <w:rPr>
          <w:rFonts w:ascii="Calibri" w:cs="Calibri" w:eastAsia="Calibri" w:hAnsi="Calibri"/>
          <w:i/>
          <w:iCs/>
          <w:sz w:val="22"/>
          <w:szCs w:val="22"/>
        </w:rPr>
        <w:t xml:space="preserve">AVSAB Position Statement on Puppy Socialization</w:t>
      </w:r>
      <w:r>
        <w:rPr>
          <w:rFonts w:ascii="Calibri" w:cs="Calibri" w:eastAsia="Calibri" w:hAnsi="Calibri"/>
          <w:color w:val="336699"/>
          <w:sz w:val="20"/>
          <w:szCs w:val="20"/>
        </w:rPr>
        <w:t xml:space="preserve"> https://avsab.org/wp-content/uploads/2018/03/Puppy_Socialization_Position_Statement_Download_-_10-3-14.pdf</w:t>
      </w:r>
    </w:p>
    <w:p>
      <w:pPr>
        <w:spacing w:after="40"/>
        <w:ind w:left="360"/>
      </w:pPr>
      <w:r>
        <w:rPr>
          <w:rFonts w:ascii="Calibri" w:cs="Calibri" w:eastAsia="Calibri" w:hAnsi="Calibri"/>
          <w:sz w:val="22"/>
          <w:szCs w:val="22"/>
        </w:rPr>
        <w:t xml:space="preserve">This position statement establishes that the primary socialization window is the first three months of life and that puppies should receive socialization before they are fully vaccinated. It resolves the tension between disease risk and behavioral development by stating that behavioral problems are the number one cause of death in dogs under three years of age, and the risk of behavioral issues from lack of socialization outweighs the relatively small infection risk when appropriate precautions are taken.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the authoritative veterinary behavioral medicine position that directly addresses the core tension in the chapter: how to balance early socialization (critical period ending at 12-14 weeks) with vaccination schedules. It provides the evidence-based framework for recommending puppy classes starting 7 days after first vaccines.</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Not specified (PMC review article) (2014). </w:t>
      </w:r>
      <w:r>
        <w:rPr>
          <w:rFonts w:ascii="Calibri" w:cs="Calibri" w:eastAsia="Calibri" w:hAnsi="Calibri"/>
          <w:i/>
          <w:iCs/>
          <w:sz w:val="22"/>
          <w:szCs w:val="22"/>
        </w:rPr>
        <w:t xml:space="preserve">Tick paralysis in Australia caused by Ixodes holocyclus Neumann</w:t>
      </w:r>
      <w:r>
        <w:rPr>
          <w:rFonts w:ascii="Calibri" w:cs="Calibri" w:eastAsia="Calibri" w:hAnsi="Calibri"/>
          <w:color w:val="336699"/>
          <w:sz w:val="20"/>
          <w:szCs w:val="20"/>
        </w:rPr>
        <w:t xml:space="preserve"> https://pmc.ncbi.nlm.nih.gov/articles/PMC4084664/</w:t>
      </w:r>
    </w:p>
    <w:p>
      <w:pPr>
        <w:spacing w:after="40"/>
        <w:ind w:left="360"/>
      </w:pPr>
      <w:r>
        <w:rPr>
          <w:rFonts w:ascii="Calibri" w:cs="Calibri" w:eastAsia="Calibri" w:hAnsi="Calibri"/>
          <w:sz w:val="22"/>
          <w:szCs w:val="22"/>
        </w:rPr>
        <w:t xml:space="preserve">Comprehensive review of Ixodes holocyclus, the Australian paralysis tick found along the eastern coastal strip from North Queensland to Northern Victoria. The tick produces a potent neurotoxin (holocyclotoxin) causing rapidly ascending flaccid paralysis. Approximately 10,000 companion animals are affected annually in Australia. Unlike other paralysis ticks worldwide, removal of I. holocyclus does not immediately reverse paralysis and affected animals may still die despite tick removal.</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for the Australian-specific parasite prevention section. Provides authoritative detail on the specific threat of paralysis ticks to east coast Australia dogs, the unique danger of this species compared to other paralysis ticks, and the critical importance of early recognition and veterinary intervention.</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Roeber, F. &amp; Webster, R.A. (2021). </w:t>
      </w:r>
      <w:r>
        <w:rPr>
          <w:rFonts w:ascii="Calibri" w:cs="Calibri" w:eastAsia="Calibri" w:hAnsi="Calibri"/>
          <w:i/>
          <w:iCs/>
          <w:sz w:val="22"/>
          <w:szCs w:val="22"/>
        </w:rPr>
        <w:t xml:space="preserve">Protecting dogs and cats against the Australian paralysis tick, Ixodes holocyclus (Acari: Ixodidae): A review of the Australian acaricide registration process</w:t>
      </w:r>
      <w:r>
        <w:rPr>
          <w:rFonts w:ascii="Calibri" w:cs="Calibri" w:eastAsia="Calibri" w:hAnsi="Calibri"/>
          <w:color w:val="666666"/>
          <w:sz w:val="20"/>
          <w:szCs w:val="20"/>
        </w:rPr>
        <w:t xml:space="preserve"> DOI: 10.1016/j.crpvbd.2021.100039</w:t>
      </w:r>
      <w:r>
        <w:rPr>
          <w:rFonts w:ascii="Calibri" w:cs="Calibri" w:eastAsia="Calibri" w:hAnsi="Calibri"/>
          <w:color w:val="336699"/>
          <w:sz w:val="20"/>
          <w:szCs w:val="20"/>
        </w:rPr>
        <w:t xml:space="preserve"> https://www.sciencedirect.com/science/article/pii/S2667114X21000480</w:t>
      </w:r>
    </w:p>
    <w:p>
      <w:pPr>
        <w:spacing w:after="40"/>
        <w:ind w:left="360"/>
      </w:pPr>
      <w:r>
        <w:rPr>
          <w:rFonts w:ascii="Calibri" w:cs="Calibri" w:eastAsia="Calibri" w:hAnsi="Calibri"/>
          <w:sz w:val="22"/>
          <w:szCs w:val="22"/>
        </w:rPr>
        <w:t xml:space="preserve">Reviews the ongoing threat of I. holocyclus along Australia's east coast and the neurotoxin's mechanism causing rapidly ascending flaccid paralysis that can be fatal. Discusses current acaricide products available in Australia for prevention, noting only four registered products for cats providing 5 weeks to 3 months protection. Emphasizes that longer-duration products increase owner compliance.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recent (2021) Australian veterinary perspective on paralysis tick prevention products and the importance of compliance in tick-endemic areas. Critical for advising east coast puppy owners on evidence-based prevention strategies.</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Torres de la Riva, G., Hart, B.L., Farver, T.B., Oberbauer, A.M., Messam, L.L.M., Willits, N., &amp; Hart, L.A. (2013). </w:t>
      </w:r>
      <w:r>
        <w:rPr>
          <w:rFonts w:ascii="Calibri" w:cs="Calibri" w:eastAsia="Calibri" w:hAnsi="Calibri"/>
          <w:i/>
          <w:iCs/>
          <w:sz w:val="22"/>
          <w:szCs w:val="22"/>
        </w:rPr>
        <w:t xml:space="preserve">Neutering Dogs: Effects on Joint Disorders and Cancers in Golden Retrievers</w:t>
      </w:r>
      <w:r>
        <w:rPr>
          <w:rFonts w:ascii="Calibri" w:cs="Calibri" w:eastAsia="Calibri" w:hAnsi="Calibri"/>
          <w:color w:val="666666"/>
          <w:sz w:val="20"/>
          <w:szCs w:val="20"/>
        </w:rPr>
        <w:t xml:space="preserve"> DOI: 10.1371/journal.pone.0055937</w:t>
      </w:r>
      <w:r>
        <w:rPr>
          <w:rFonts w:ascii="Calibri" w:cs="Calibri" w:eastAsia="Calibri" w:hAnsi="Calibri"/>
          <w:color w:val="336699"/>
          <w:sz w:val="20"/>
          <w:szCs w:val="20"/>
        </w:rPr>
        <w:t xml:space="preserve"> https://journals.plos.org/plosone/article?id=10.1371/journal.pone.0055937</w:t>
      </w:r>
    </w:p>
    <w:p>
      <w:pPr>
        <w:spacing w:after="40"/>
        <w:ind w:left="360"/>
      </w:pPr>
      <w:r>
        <w:rPr>
          <w:rFonts w:ascii="Calibri" w:cs="Calibri" w:eastAsia="Calibri" w:hAnsi="Calibri"/>
          <w:sz w:val="22"/>
          <w:szCs w:val="22"/>
        </w:rPr>
        <w:t xml:space="preserve">Landmark study of 759 Golden Retrievers examining effects of neutering timing on hip dysplasia, cranial cruciate ligament tear, lymphosarcoma, hemangiosarcoma, and mast cell tumors. Found that early-neutered males (before 12 months) had double the rate of hip dysplasia (10% vs 5%) and no intact dogs developed CCL tears, but 5% of early-neutered males and 8% of early-neutered females did. Early-neutered males had 3 times the rate of lymphosarcoma compared to intact males.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Seminal research that fundamentally changed the desexing timing conversation. Essential evidence for the chapter's discussion of desexing as a decision-making framework rather than a one-size-fits-all prescription, particularly relevant for larger breed puppies.</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Hart, B.L., Hart, L.A., Thigpen, A.P., &amp; Willits, N.H. (2020). </w:t>
      </w:r>
      <w:r>
        <w:rPr>
          <w:rFonts w:ascii="Calibri" w:cs="Calibri" w:eastAsia="Calibri" w:hAnsi="Calibri"/>
          <w:i/>
          <w:iCs/>
          <w:sz w:val="22"/>
          <w:szCs w:val="22"/>
        </w:rPr>
        <w:t xml:space="preserve">Assisting Decision-Making on Age of Neutering for 35 Breeds of Dogs: Associated Joint Disorders, Cancers, and Urinary Incontinence</w:t>
      </w:r>
      <w:r>
        <w:rPr>
          <w:rFonts w:ascii="Calibri" w:cs="Calibri" w:eastAsia="Calibri" w:hAnsi="Calibri"/>
          <w:color w:val="666666"/>
          <w:sz w:val="20"/>
          <w:szCs w:val="20"/>
        </w:rPr>
        <w:t xml:space="preserve"> DOI: 10.3389/fvets.2020.00388</w:t>
      </w:r>
      <w:r>
        <w:rPr>
          <w:rFonts w:ascii="Calibri" w:cs="Calibri" w:eastAsia="Calibri" w:hAnsi="Calibri"/>
          <w:color w:val="336699"/>
          <w:sz w:val="20"/>
          <w:szCs w:val="20"/>
        </w:rPr>
        <w:t xml:space="preserve"> https://pubmed.ncbi.nlm.nih.gov/32733924/</w:t>
      </w:r>
    </w:p>
    <w:p>
      <w:pPr>
        <w:spacing w:after="40"/>
        <w:ind w:left="360"/>
      </w:pPr>
      <w:r>
        <w:rPr>
          <w:rFonts w:ascii="Calibri" w:cs="Calibri" w:eastAsia="Calibri" w:hAnsi="Calibri"/>
          <w:sz w:val="22"/>
          <w:szCs w:val="22"/>
        </w:rPr>
        <w:t xml:space="preserve">Expanded study examining 35 dog breeds for effects of neutering timing on joint disorders (hip dysplasia, CCL, elbow dysplasia) and cancers (lymphoma, mast cell tumor, hemangiosarcoma, osteosarcoma). Found substantial breed differences: large breeds showed 2-4 times increased joint disorder risk with neutering before one year, particularly before 6 months. Small dog breeds showed little vulnerability to early neutering. Results support breed-specific and size-specific desexing recommendations.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most comprehensive breed-specific evidence base for desexing timing decisions. Critical for presenting desexing as an individualized decision that considers breed size, sex, and specific health risk profiles. Supports the chapter's framework approach to desexing guidance.</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Salmeri, K.R. et al. (2019). </w:t>
      </w:r>
      <w:r>
        <w:rPr>
          <w:rFonts w:ascii="Calibri" w:cs="Calibri" w:eastAsia="Calibri" w:hAnsi="Calibri"/>
          <w:i/>
          <w:iCs/>
          <w:sz w:val="22"/>
          <w:szCs w:val="22"/>
        </w:rPr>
        <w:t xml:space="preserve">Desexing Dogs: A Review of the Current Literature</w:t>
      </w:r>
      <w:r>
        <w:rPr>
          <w:rFonts w:ascii="Calibri" w:cs="Calibri" w:eastAsia="Calibri" w:hAnsi="Calibri"/>
          <w:color w:val="666666"/>
          <w:sz w:val="20"/>
          <w:szCs w:val="20"/>
        </w:rPr>
        <w:t xml:space="preserve"> DOI: 10.3390/ani10010132</w:t>
      </w:r>
      <w:r>
        <w:rPr>
          <w:rFonts w:ascii="Calibri" w:cs="Calibri" w:eastAsia="Calibri" w:hAnsi="Calibri"/>
          <w:color w:val="336699"/>
          <w:sz w:val="20"/>
          <w:szCs w:val="20"/>
        </w:rPr>
        <w:t xml:space="preserve"> https://pmc.ncbi.nlm.nih.gov/articles/PMC6940997/</w:t>
      </w:r>
    </w:p>
    <w:p>
      <w:pPr>
        <w:spacing w:after="40"/>
        <w:ind w:left="360"/>
      </w:pPr>
      <w:r>
        <w:rPr>
          <w:rFonts w:ascii="Calibri" w:cs="Calibri" w:eastAsia="Calibri" w:hAnsi="Calibri"/>
          <w:sz w:val="22"/>
          <w:szCs w:val="22"/>
        </w:rPr>
        <w:t xml:space="preserve">Comprehensive review finding that evidence for overall beneficial effects of desexing is stronger in females than males when considering both population control and health benefits. Notes significant variation between breeds and sexes. Highlights that most existing literature consists of post-hoc observational studies rather than randomized interventional studies, meaning most effects are correlations not establishing strict causality. Emphasizes need for more individualized, evidence-based recommendations.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critical context for presenting desexing as a nuanced decision rather than a mandate. Supports the chapter's approach of giving owners a decision-making framework with acknowledgment of evidence limitations and individual variation.</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Jones, Deborah, Ph.D. (2018). </w:t>
      </w:r>
      <w:r>
        <w:rPr>
          <w:rFonts w:ascii="Calibri" w:cs="Calibri" w:eastAsia="Calibri" w:hAnsi="Calibri"/>
          <w:i/>
          <w:iCs/>
          <w:sz w:val="22"/>
          <w:szCs w:val="22"/>
        </w:rPr>
        <w:t xml:space="preserve">Cooperative Care: Seven Steps to Stress-Free Husbandry</w:t>
      </w:r>
      <w:r>
        <w:rPr>
          <w:rFonts w:ascii="Calibri" w:cs="Calibri" w:eastAsia="Calibri" w:hAnsi="Calibri"/>
          <w:color w:val="336699"/>
          <w:sz w:val="20"/>
          <w:szCs w:val="20"/>
        </w:rPr>
        <w:t xml:space="preserve"> https://www.whole-dog-journal.com/training/cooperative-care-giving-your-dog-choice-and-control/</w:t>
      </w:r>
    </w:p>
    <w:p>
      <w:pPr>
        <w:spacing w:after="40"/>
        <w:ind w:left="360"/>
      </w:pPr>
      <w:r>
        <w:rPr>
          <w:rFonts w:ascii="Calibri" w:cs="Calibri" w:eastAsia="Calibri" w:hAnsi="Calibri"/>
          <w:sz w:val="22"/>
          <w:szCs w:val="22"/>
        </w:rPr>
        <w:t xml:space="preserve">Foundational resource on cooperative care training for companion animals. Defines cooperative care as training animals to be active, willing participants in handling and husbandry procedures rather than merely tolerating them. Core principle is giving animals choice and agency through consent behaviors (start buttons/opt-in signals). Emphasizes that this approach builds trust, reduces stress, and gives animals bodily autonomy in their care experiences.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theoretical and practical framework for the chapter's discussion of making veterinary visits positive experiences. Directly supports teaching owners to give puppies agency in their veterinary experiences through training foundation behaviors like chin rest, bucket game, and stationing.</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Stellato, A.C. et al. (2022). </w:t>
      </w:r>
      <w:r>
        <w:rPr>
          <w:rFonts w:ascii="Calibri" w:cs="Calibri" w:eastAsia="Calibri" w:hAnsi="Calibri"/>
          <w:i/>
          <w:iCs/>
          <w:sz w:val="22"/>
          <w:szCs w:val="22"/>
        </w:rPr>
        <w:t xml:space="preserve">Effect of cooperative care training on physiological parameters and compliance in dogs undergoing a veterinary examination – A pilot study</w:t>
      </w:r>
      <w:r>
        <w:rPr>
          <w:rFonts w:ascii="Calibri" w:cs="Calibri" w:eastAsia="Calibri" w:hAnsi="Calibri"/>
          <w:color w:val="336699"/>
          <w:sz w:val="20"/>
          <w:szCs w:val="20"/>
        </w:rPr>
        <w:t xml:space="preserve"> https://www.sciencedirect.com/science/article/pii/S0168159122000739</w:t>
      </w:r>
    </w:p>
    <w:p>
      <w:pPr>
        <w:spacing w:after="40"/>
        <w:ind w:left="360"/>
      </w:pPr>
      <w:r>
        <w:rPr>
          <w:rFonts w:ascii="Calibri" w:cs="Calibri" w:eastAsia="Calibri" w:hAnsi="Calibri"/>
          <w:sz w:val="22"/>
          <w:szCs w:val="22"/>
        </w:rPr>
        <w:t xml:space="preserve">Controlled trial of 40 dogs (22 training group, 18 control) examining effects of cooperative care training on heart rate, heart rate variability, tympanic membrane temperature, and compliance during veterinary exams. Found that veterinary examinations were stressful for all dogs (increased HR, decreased HRV). Training had heterogeneous effects depending on dog's previous tolerance and training progress. Highlights that transfer of trained skills to actual veterinary settings was challenging, emphasizing need to optimize training programs including desensitization and counterconditioning.</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empirical evidence on both the promise and challenges of cooperative care training in real veterinary contexts. Important for setting realistic expectations in the chapter while still advocating for the approach. Supports emphasis on gradual desensitization and counterconditioning combined with cooperative care techniques.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2026-02-20T00:01:59.839Z</dcterms:created>
  <dcterms:modified xsi:type="dcterms:W3CDTF">2026-02-20T00:01:59.839Z</dcterms:modified>
</cp:coreProperties>
</file>

<file path=docProps/custom.xml><?xml version="1.0" encoding="utf-8"?>
<Properties xmlns="http://schemas.openxmlformats.org/officeDocument/2006/custom-properties" xmlns:vt="http://schemas.openxmlformats.org/officeDocument/2006/docPropsVTypes"/>
</file>