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Puppy School: An Evidence-Based Guide to Raising a Happy, Healthy Dog</w:t>
      </w:r>
    </w:p>
    <w:p>
      <w:pPr>
        <w:spacing w:after="200"/>
        <w:jc w:val="center"/>
      </w:pPr>
      <w:r>
        <w:rPr>
          <w:rFonts w:ascii="Calibri" w:cs="Calibri" w:eastAsia="Calibri" w:hAnsi="Calibri"/>
          <w:sz w:val="24"/>
          <w:szCs w:val="24"/>
        </w:rPr>
        <w:t xml:space="preserve">The Adolescent Dog — When Your Perfect Puppy Hits Puberty — Research Dossier</w:t>
      </w:r>
    </w:p>
    <w:p>
      <w:pPr>
        <w:pBdr>
          <w:bottom w:val="single" w:color="999999" w:sz="1"/>
        </w:pBdr>
        <w:spacing w:after="200"/>
      </w:pPr>
    </w:p>
    <w:p>
      <w:pPr>
        <w:pStyle w:val="Heading2"/>
        <w:spacing w:before="200" w:after="120"/>
      </w:pPr>
      <w:r>
        <w:rPr>
          <w:rFonts w:ascii="Calibri" w:cs="Calibri" w:eastAsia="Calibri" w:hAnsi="Calibri"/>
          <w:b/>
          <w:bCs/>
          <w:sz w:val="24"/>
          <w:szCs w:val="24"/>
        </w:rPr>
        <w:t xml:space="preserve">Synthesis Notes</w:t>
      </w:r>
    </w:p>
    <w:p>
      <w:pPr>
        <w:spacing w:after="200"/>
      </w:pPr>
      <w:r>
        <w:rPr>
          <w:rFonts w:ascii="Calibri" w:cs="Calibri" w:eastAsia="Calibri" w:hAnsi="Calibri"/>
          <w:sz w:val="22"/>
          <w:szCs w:val="22"/>
        </w:rPr>
        <w:t xml:space="preserve">These sources collectively provide robust scientific foundation for the chapter content on canine adolescence. The Asher et al. (2020) study is the landmark empirical validation that adolescent behavioral changes are real, temporary, and biologically driven - essential for reducing owner guilt. Bray et al. (2021) provides the longitudinal data showing cognitive trajectories through this period and into adulthood, while Bray/Harvey (2021) establishes evidence-based timelines for social maturity. The neuroscience foundation (Tottenham &amp; Galván 2016) explains the amygdala-prefrontal cortex imbalance underlying impulsivity and emotional reactivity. The Serpell &amp; Duffy (2016) work validates that adolescence is a sensitive period where experiences matter, supporting the chapter's emphasis on maintaining positive training. The desexing research (Hart et al. 2020; McGreevy et al. 2018) provides critical evidence for the 'desexing timeline revisited' section, showing that waiting until after behavioral maturity may reduce risk of behavioral problems, particularly in larger breeds. Finally, the AAHA guidelines provide authoritative clinical framework for when to seek professional help and the timeline through social maturity. Together, these sources validate every major concept in the chapter: the neuroscience is real, the regression is temporary, the foundation built in puppyhood matters, continued training through adolescence is essential, and professional help (from qualified veterinary behaviorists) is available and important. The pedagogical takeaway is clear: adolescence is a predictable, biologically-driven developmental stage that tests everything you've taught, requires patience and consistency, and - critically - ends. Owners who understand the science are less likely to personalize the behavior, more likely to persist with positive methods, and better equipped to make informed decisions about desexing timing and when to seek professional support.</w:t>
      </w:r>
    </w:p>
    <w:p>
      <w:pPr>
        <w:pStyle w:val="Heading2"/>
        <w:spacing w:before="200" w:after="120"/>
      </w:pPr>
      <w:r>
        <w:rPr>
          <w:rFonts w:ascii="Calibri" w:cs="Calibri" w:eastAsia="Calibri" w:hAnsi="Calibri"/>
          <w:b/>
          <w:bCs/>
          <w:sz w:val="24"/>
          <w:szCs w:val="24"/>
        </w:rPr>
        <w:t xml:space="preserve">Sources (8)</w:t>
      </w:r>
    </w:p>
    <w:p>
      <w:pPr>
        <w:spacing w:before="200" w:after="60"/>
      </w:pPr>
      <w:r>
        <w:rPr>
          <w:rFonts w:ascii="Calibri" w:cs="Calibri" w:eastAsia="Calibri" w:hAnsi="Calibri"/>
          <w:b/>
          <w:bCs/>
          <w:sz w:val="22"/>
          <w:szCs w:val="22"/>
        </w:rPr>
        <w:t xml:space="preserve">1. </w:t>
      </w:r>
      <w:r>
        <w:rPr>
          <w:rFonts w:ascii="Calibri" w:cs="Calibri" w:eastAsia="Calibri" w:hAnsi="Calibri"/>
          <w:b/>
          <w:bCs/>
          <w:sz w:val="22"/>
          <w:szCs w:val="22"/>
        </w:rPr>
        <w:t xml:space="preserve">Lucy Asher, Gary C.W. England, Rebecca Sommerville, Naomi D. Harvey (2020). </w:t>
      </w:r>
      <w:r>
        <w:rPr>
          <w:rFonts w:ascii="Calibri" w:cs="Calibri" w:eastAsia="Calibri" w:hAnsi="Calibri"/>
          <w:i/>
          <w:iCs/>
          <w:sz w:val="22"/>
          <w:szCs w:val="22"/>
        </w:rPr>
        <w:t xml:space="preserve">Teenage dogs? Evidence for adolescent-phase conflict behaviour and an association between attachment to humans and pubertal timing in the domestic dog</w:t>
      </w:r>
      <w:r>
        <w:rPr>
          <w:rFonts w:ascii="Calibri" w:cs="Calibri" w:eastAsia="Calibri" w:hAnsi="Calibri"/>
          <w:color w:val="666666"/>
          <w:sz w:val="20"/>
          <w:szCs w:val="20"/>
        </w:rPr>
        <w:t xml:space="preserve"> DOI: 10.1098/rsbl.2020.0097</w:t>
      </w:r>
      <w:r>
        <w:rPr>
          <w:rFonts w:ascii="Calibri" w:cs="Calibri" w:eastAsia="Calibri" w:hAnsi="Calibri"/>
          <w:color w:val="336699"/>
          <w:sz w:val="20"/>
          <w:szCs w:val="20"/>
        </w:rPr>
        <w:t xml:space="preserve"> https://royalsocietypublishing.org/doi/10.1098/rsbl.2020.0097</w:t>
      </w:r>
    </w:p>
    <w:p>
      <w:pPr>
        <w:spacing w:after="40"/>
        <w:ind w:left="360"/>
      </w:pPr>
      <w:r>
        <w:rPr>
          <w:rFonts w:ascii="Calibri" w:cs="Calibri" w:eastAsia="Calibri" w:hAnsi="Calibri"/>
          <w:sz w:val="22"/>
          <w:szCs w:val="22"/>
        </w:rPr>
        <w:t xml:space="preserve">This landmark study provided the first empirical evidence for adolescent-phase behavior in dogs, demonstrating a passing phase of carer-specific conflict behavior during adolescence (reduced trainability and responsiveness to commands), particularly pronounced in dogs with less secure attachments. Dogs at 8 months of age showed reduced obedience to caregivers but not strangers, paralleling human teenage behavior.</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Core research establishing the scientific basis for canine adolescence. Directly supports chapter content on behavioral regression, selective deafness, and the temporary nature of adolescent challenges. Validates that this is a genuine developmental stage, not training failure.</w:t>
      </w:r>
    </w:p>
    <w:p>
      <w:pPr>
        <w:spacing w:before="200" w:after="60"/>
      </w:pPr>
      <w:r>
        <w:rPr>
          <w:rFonts w:ascii="Calibri" w:cs="Calibri" w:eastAsia="Calibri" w:hAnsi="Calibri"/>
          <w:b/>
          <w:bCs/>
          <w:sz w:val="22"/>
          <w:szCs w:val="22"/>
        </w:rPr>
        <w:t xml:space="preserve">2. </w:t>
      </w:r>
      <w:r>
        <w:rPr>
          <w:rFonts w:ascii="Calibri" w:cs="Calibri" w:eastAsia="Calibri" w:hAnsi="Calibri"/>
          <w:b/>
          <w:bCs/>
          <w:sz w:val="22"/>
          <w:szCs w:val="22"/>
        </w:rPr>
        <w:t xml:space="preserve">Emily E. Bray, Margaret E. Gruen, Gitanjali E. Gnanadesikan, Daniel J. Horschler, Kerinne M. Levy, Brenda S. Kennedy, Brian A. Hare, Evan L. MacLean (2021). </w:t>
      </w:r>
      <w:r>
        <w:rPr>
          <w:rFonts w:ascii="Calibri" w:cs="Calibri" w:eastAsia="Calibri" w:hAnsi="Calibri"/>
          <w:i/>
          <w:iCs/>
          <w:sz w:val="22"/>
          <w:szCs w:val="22"/>
        </w:rPr>
        <w:t xml:space="preserve">Dog cognitive development: a longitudinal study across the first 2 years of life</w:t>
      </w:r>
      <w:r>
        <w:rPr>
          <w:rFonts w:ascii="Calibri" w:cs="Calibri" w:eastAsia="Calibri" w:hAnsi="Calibri"/>
          <w:color w:val="666666"/>
          <w:sz w:val="20"/>
          <w:szCs w:val="20"/>
        </w:rPr>
        <w:t xml:space="preserve"> DOI: 10.1007/s10071-020-01443-7</w:t>
      </w:r>
      <w:r>
        <w:rPr>
          <w:rFonts w:ascii="Calibri" w:cs="Calibri" w:eastAsia="Calibri" w:hAnsi="Calibri"/>
          <w:color w:val="336699"/>
          <w:sz w:val="20"/>
          <w:szCs w:val="20"/>
        </w:rPr>
        <w:t xml:space="preserve"> https://link.springer.com/article/10.1007/s10071-020-01443-7</w:t>
      </w:r>
    </w:p>
    <w:p>
      <w:pPr>
        <w:spacing w:after="40"/>
        <w:ind w:left="360"/>
      </w:pPr>
      <w:r>
        <w:rPr>
          <w:rFonts w:ascii="Calibri" w:cs="Calibri" w:eastAsia="Calibri" w:hAnsi="Calibri"/>
          <w:sz w:val="22"/>
          <w:szCs w:val="22"/>
        </w:rPr>
        <w:t xml:space="preserve">Longitudinal study of 160 assistance dogs tracking cognitive development from 9 weeks to 21 months. Found that executive function and social gaze showed the largest improvements with age, and that individual differences in social attention and communication skills were both early emerging and enduring, demonstrating developmental stability of key traits.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empirical timeline for cognitive maturation through adolescence and beyond. Supports chapter discussion of when dogs reach behavioral and cognitive maturity, and validates that foundational training in puppyhood predicts adult behavior.</w:t>
      </w:r>
    </w:p>
    <w:p>
      <w:pPr>
        <w:spacing w:before="200" w:after="60"/>
      </w:pPr>
      <w:r>
        <w:rPr>
          <w:rFonts w:ascii="Calibri" w:cs="Calibri" w:eastAsia="Calibri" w:hAnsi="Calibri"/>
          <w:b/>
          <w:bCs/>
          <w:sz w:val="22"/>
          <w:szCs w:val="22"/>
        </w:rPr>
        <w:t xml:space="preserve">3. </w:t>
      </w:r>
      <w:r>
        <w:rPr>
          <w:rFonts w:ascii="Calibri" w:cs="Calibri" w:eastAsia="Calibri" w:hAnsi="Calibri"/>
          <w:b/>
          <w:bCs/>
          <w:sz w:val="22"/>
          <w:szCs w:val="22"/>
        </w:rPr>
        <w:t xml:space="preserve">Emily E. Bray, Naomi D. Harvey (and others contributing to the review) (2021). </w:t>
      </w:r>
      <w:r>
        <w:rPr>
          <w:rFonts w:ascii="Calibri" w:cs="Calibri" w:eastAsia="Calibri" w:hAnsi="Calibri"/>
          <w:i/>
          <w:iCs/>
          <w:sz w:val="22"/>
          <w:szCs w:val="22"/>
        </w:rPr>
        <w:t xml:space="preserve">How Old Is My Dog? Identification of Rational Age Groupings in Pet Dogs Based Upon Normative Age-Linked Processes</w:t>
      </w:r>
      <w:r>
        <w:rPr>
          <w:rFonts w:ascii="Calibri" w:cs="Calibri" w:eastAsia="Calibri" w:hAnsi="Calibri"/>
          <w:color w:val="666666"/>
          <w:sz w:val="20"/>
          <w:szCs w:val="20"/>
        </w:rPr>
        <w:t xml:space="preserve"> DOI: 10.3389/fvets.2021.643085</w:t>
      </w:r>
      <w:r>
        <w:rPr>
          <w:rFonts w:ascii="Calibri" w:cs="Calibri" w:eastAsia="Calibri" w:hAnsi="Calibri"/>
          <w:color w:val="336699"/>
          <w:sz w:val="20"/>
          <w:szCs w:val="20"/>
        </w:rPr>
        <w:t xml:space="preserve"> https://www.frontiersin.org/articles/10.3389/fvets.2021.643085/full</w:t>
      </w:r>
    </w:p>
    <w:p>
      <w:pPr>
        <w:spacing w:after="40"/>
        <w:ind w:left="360"/>
      </w:pPr>
      <w:r>
        <w:rPr>
          <w:rFonts w:ascii="Calibri" w:cs="Calibri" w:eastAsia="Calibri" w:hAnsi="Calibri"/>
          <w:sz w:val="22"/>
          <w:szCs w:val="22"/>
        </w:rPr>
        <w:t xml:space="preserve">Perspective review establishing standardized chronological categories for dogs based on normative developmental and age-linked cognitive processes. Identifies rational age groupings that capture developmental trajectories across breeds, providing framework for understanding when dogs reach social maturity.</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Essential for chapter section on timeline to social maturity. Provides evidence-based framework for when adolescence ends and what owners can expect. Supports discussion that this phase is temporary with predictable endpoints.</w:t>
      </w:r>
    </w:p>
    <w:p>
      <w:pPr>
        <w:spacing w:before="200" w:after="60"/>
      </w:pPr>
      <w:r>
        <w:rPr>
          <w:rFonts w:ascii="Calibri" w:cs="Calibri" w:eastAsia="Calibri" w:hAnsi="Calibri"/>
          <w:b/>
          <w:bCs/>
          <w:sz w:val="22"/>
          <w:szCs w:val="22"/>
        </w:rPr>
        <w:t xml:space="preserve">4. </w:t>
      </w:r>
      <w:r>
        <w:rPr>
          <w:rFonts w:ascii="Calibri" w:cs="Calibri" w:eastAsia="Calibri" w:hAnsi="Calibri"/>
          <w:b/>
          <w:bCs/>
          <w:sz w:val="22"/>
          <w:szCs w:val="22"/>
        </w:rPr>
        <w:t xml:space="preserve">James A. Serpell, Deborah L. Duffy (2016). </w:t>
      </w:r>
      <w:r>
        <w:rPr>
          <w:rFonts w:ascii="Calibri" w:cs="Calibri" w:eastAsia="Calibri" w:hAnsi="Calibri"/>
          <w:i/>
          <w:iCs/>
          <w:sz w:val="22"/>
          <w:szCs w:val="22"/>
        </w:rPr>
        <w:t xml:space="preserve">Aspects of Juvenile and Adolescent Environment Predict Aggression and Fear in 12-Month-Old Guide Dogs</w:t>
      </w:r>
      <w:r>
        <w:rPr>
          <w:rFonts w:ascii="Calibri" w:cs="Calibri" w:eastAsia="Calibri" w:hAnsi="Calibri"/>
          <w:color w:val="666666"/>
          <w:sz w:val="20"/>
          <w:szCs w:val="20"/>
        </w:rPr>
        <w:t xml:space="preserve"> DOI: 10.3389/fvets.2016.00049</w:t>
      </w:r>
      <w:r>
        <w:rPr>
          <w:rFonts w:ascii="Calibri" w:cs="Calibri" w:eastAsia="Calibri" w:hAnsi="Calibri"/>
          <w:color w:val="336699"/>
          <w:sz w:val="20"/>
          <w:szCs w:val="20"/>
        </w:rPr>
        <w:t xml:space="preserve"> https://www.frontiersin.org/journals/veterinary-science/articles/10.3389/fvets.2016.00049/full</w:t>
      </w:r>
    </w:p>
    <w:p>
      <w:pPr>
        <w:spacing w:after="40"/>
        <w:ind w:left="360"/>
      </w:pPr>
      <w:r>
        <w:rPr>
          <w:rFonts w:ascii="Calibri" w:cs="Calibri" w:eastAsia="Calibri" w:hAnsi="Calibri"/>
          <w:sz w:val="22"/>
          <w:szCs w:val="22"/>
        </w:rPr>
        <w:t xml:space="preserve">Study examining environmental factors during juvenile (6 months) and adolescent (12 months) periods in guide dogs. Found that traumatic experiences during these periods, such as being frightened by a person or threatened by another dog, showed significant associations with fear and aggression at 12 months. Also found that growing up with experienced puppy raisers and in households with other dogs was associated with positive behavioral outcomes.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Critical for chapter discussions on fear periods during adolescence, the importance of continued positive experiences, and when professional help is needed. Validates that adolescence is a sensitive period where negative experiences have lasting impacts.</w:t>
      </w:r>
    </w:p>
    <w:p>
      <w:pPr>
        <w:spacing w:before="200" w:after="60"/>
      </w:pPr>
      <w:r>
        <w:rPr>
          <w:rFonts w:ascii="Calibri" w:cs="Calibri" w:eastAsia="Calibri" w:hAnsi="Calibri"/>
          <w:b/>
          <w:bCs/>
          <w:sz w:val="22"/>
          <w:szCs w:val="22"/>
        </w:rPr>
        <w:t xml:space="preserve">5. </w:t>
      </w:r>
      <w:r>
        <w:rPr>
          <w:rFonts w:ascii="Calibri" w:cs="Calibri" w:eastAsia="Calibri" w:hAnsi="Calibri"/>
          <w:b/>
          <w:bCs/>
          <w:sz w:val="22"/>
          <w:szCs w:val="22"/>
        </w:rPr>
        <w:t xml:space="preserve">Benjamin L. Hart, Lynette A. Hart, Abigail P. Thigpen, Neil H. Willits (2020). </w:t>
      </w:r>
      <w:r>
        <w:rPr>
          <w:rFonts w:ascii="Calibri" w:cs="Calibri" w:eastAsia="Calibri" w:hAnsi="Calibri"/>
          <w:i/>
          <w:iCs/>
          <w:sz w:val="22"/>
          <w:szCs w:val="22"/>
        </w:rPr>
        <w:t xml:space="preserve">Assisting Decision-Making on Age of Neutering for 35 Breeds of Dogs: Associated Joint Disorders, Cancers, and Urinary Incontinence</w:t>
      </w:r>
      <w:r>
        <w:rPr>
          <w:rFonts w:ascii="Calibri" w:cs="Calibri" w:eastAsia="Calibri" w:hAnsi="Calibri"/>
          <w:color w:val="666666"/>
          <w:sz w:val="20"/>
          <w:szCs w:val="20"/>
        </w:rPr>
        <w:t xml:space="preserve"> DOI: 10.3389/fvets.2020.00388</w:t>
      </w:r>
      <w:r>
        <w:rPr>
          <w:rFonts w:ascii="Calibri" w:cs="Calibri" w:eastAsia="Calibri" w:hAnsi="Calibri"/>
          <w:color w:val="336699"/>
          <w:sz w:val="20"/>
          <w:szCs w:val="20"/>
        </w:rPr>
        <w:t xml:space="preserve"> https://www.frontiersin.org/journals/veterinary-science/articles/10.3389/fvets.2020.00388/full</w:t>
      </w:r>
    </w:p>
    <w:p>
      <w:pPr>
        <w:spacing w:after="40"/>
        <w:ind w:left="360"/>
      </w:pPr>
      <w:r>
        <w:rPr>
          <w:rFonts w:ascii="Calibri" w:cs="Calibri" w:eastAsia="Calibri" w:hAnsi="Calibri"/>
          <w:sz w:val="22"/>
          <w:szCs w:val="22"/>
        </w:rPr>
        <w:t xml:space="preserve">Comprehensive breed-specific analysis of health risks associated with neutering at different ages across 35 breeds. Found that neutering before 1 year was associated with increased joint disorders in many large breeds (2-4 times that of intact dogs), while small dogs under 20kg showed no increased risk from neutering at 6 months. Demonstrates significant breed-specific differences requiring individualized desexing decisions.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Essential evidence for chapter section on desexing timeline revisited in light of behavioral maturity. Provides scientific basis for recommending delayed desexing in larger breeds until after adolescence, balancing population control needs with individual dog welfare.</w:t>
      </w:r>
    </w:p>
    <w:p>
      <w:pPr>
        <w:spacing w:before="200" w:after="60"/>
      </w:pPr>
      <w:r>
        <w:rPr>
          <w:rFonts w:ascii="Calibri" w:cs="Calibri" w:eastAsia="Calibri" w:hAnsi="Calibri"/>
          <w:b/>
          <w:bCs/>
          <w:sz w:val="22"/>
          <w:szCs w:val="22"/>
        </w:rPr>
        <w:t xml:space="preserve">6. </w:t>
      </w:r>
      <w:r>
        <w:rPr>
          <w:rFonts w:ascii="Calibri" w:cs="Calibri" w:eastAsia="Calibri" w:hAnsi="Calibri"/>
          <w:b/>
          <w:bCs/>
          <w:sz w:val="22"/>
          <w:szCs w:val="22"/>
        </w:rPr>
        <w:t xml:space="preserve">Paul D. McGreevy, Bethany Wilson, Melissa J. Starling, James A. Serpell (2018). </w:t>
      </w:r>
      <w:r>
        <w:rPr>
          <w:rFonts w:ascii="Calibri" w:cs="Calibri" w:eastAsia="Calibri" w:hAnsi="Calibri"/>
          <w:i/>
          <w:iCs/>
          <w:sz w:val="22"/>
          <w:szCs w:val="22"/>
        </w:rPr>
        <w:t xml:space="preserve">Behavioural risks in male dogs with minimal lifetime exposure to gonadal hormones may complicate population-control benefits of desexing</w:t>
      </w:r>
      <w:r>
        <w:rPr>
          <w:rFonts w:ascii="Calibri" w:cs="Calibri" w:eastAsia="Calibri" w:hAnsi="Calibri"/>
          <w:color w:val="666666"/>
          <w:sz w:val="20"/>
          <w:szCs w:val="20"/>
        </w:rPr>
        <w:t xml:space="preserve"> DOI: 10.1371/journal.pone.0196284</w:t>
      </w:r>
      <w:r>
        <w:rPr>
          <w:rFonts w:ascii="Calibri" w:cs="Calibri" w:eastAsia="Calibri" w:hAnsi="Calibri"/>
          <w:color w:val="336699"/>
          <w:sz w:val="20"/>
          <w:szCs w:val="20"/>
        </w:rPr>
        <w:t xml:space="preserve"> https://journals.plos.org/plosone/article?id=10.1371/journal.pone.0196284</w:t>
      </w:r>
    </w:p>
    <w:p>
      <w:pPr>
        <w:spacing w:after="40"/>
        <w:ind w:left="360"/>
      </w:pPr>
      <w:r>
        <w:rPr>
          <w:rFonts w:ascii="Calibri" w:cs="Calibri" w:eastAsia="Calibri" w:hAnsi="Calibri"/>
          <w:sz w:val="22"/>
          <w:szCs w:val="22"/>
        </w:rPr>
        <w:t xml:space="preserve">Large-scale study examining behavioral consequences of neutering in male dogs, finding that dogs neutered before 12 months showed increased levels of fear, anxiety, and aggression compared to intact dogs or those neutered later. Dogs neutered at 13-18 months showed behavioral profiles closest to intact dogs.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critical evidence for chapter discussion on desexing timing and behavioral maturity. Supports recommendation to wait until after adolescence for desexing to avoid exacerbating behavioral issues that may already be emerging during this challenging developmental period.</w:t>
      </w:r>
    </w:p>
    <w:p>
      <w:pPr>
        <w:spacing w:before="200" w:after="60"/>
      </w:pPr>
      <w:r>
        <w:rPr>
          <w:rFonts w:ascii="Calibri" w:cs="Calibri" w:eastAsia="Calibri" w:hAnsi="Calibri"/>
          <w:b/>
          <w:bCs/>
          <w:sz w:val="22"/>
          <w:szCs w:val="22"/>
        </w:rPr>
        <w:t xml:space="preserve">7. </w:t>
      </w:r>
      <w:r>
        <w:rPr>
          <w:rFonts w:ascii="Calibri" w:cs="Calibri" w:eastAsia="Calibri" w:hAnsi="Calibri"/>
          <w:b/>
          <w:bCs/>
          <w:sz w:val="22"/>
          <w:szCs w:val="22"/>
        </w:rPr>
        <w:t xml:space="preserve">Nim Tottenham, Adriana Galván (2016). </w:t>
      </w:r>
      <w:r>
        <w:rPr>
          <w:rFonts w:ascii="Calibri" w:cs="Calibri" w:eastAsia="Calibri" w:hAnsi="Calibri"/>
          <w:i/>
          <w:iCs/>
          <w:sz w:val="22"/>
          <w:szCs w:val="22"/>
        </w:rPr>
        <w:t xml:space="preserve">Stress and the adolescent brain: Amygdala-prefrontal cortex circuitry and ventral striatum as developmental targets</w:t>
      </w:r>
      <w:r>
        <w:rPr>
          <w:rFonts w:ascii="Calibri" w:cs="Calibri" w:eastAsia="Calibri" w:hAnsi="Calibri"/>
          <w:color w:val="666666"/>
          <w:sz w:val="20"/>
          <w:szCs w:val="20"/>
        </w:rPr>
        <w:t xml:space="preserve"> DOI: 10.1016/j.neubiorev.2016.07.027</w:t>
      </w:r>
      <w:r>
        <w:rPr>
          <w:rFonts w:ascii="Calibri" w:cs="Calibri" w:eastAsia="Calibri" w:hAnsi="Calibri"/>
          <w:color w:val="336699"/>
          <w:sz w:val="20"/>
          <w:szCs w:val="20"/>
        </w:rPr>
        <w:t xml:space="preserve"> https://pmc.ncbi.nlm.nih.gov/articles/PMC5074883/</w:t>
      </w:r>
    </w:p>
    <w:p>
      <w:pPr>
        <w:spacing w:after="40"/>
        <w:ind w:left="360"/>
      </w:pPr>
      <w:r>
        <w:rPr>
          <w:rFonts w:ascii="Calibri" w:cs="Calibri" w:eastAsia="Calibri" w:hAnsi="Calibri"/>
          <w:sz w:val="22"/>
          <w:szCs w:val="22"/>
        </w:rPr>
        <w:t xml:space="preserve">Cross-species neuroscience review documenting that adolescents are especially vulnerable to chronic stress due to amygdala-prefrontal cortex imbalance during this developmental period. While this is a human/mammalian review, it provides the neuroscience foundation cited in canine behavior research for understanding why adolescent dogs show heightened emotional reactivity and reduced impulse control.</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Foundational neuroscience supporting chapter's explanation of brain changes during adolescence. Provides the scientific basis for why the amygdala matures before the prefrontal cortex across mammalian species, explaining increased emotional reactivity and reduced impulse control in adolescent dogs.</w:t>
      </w:r>
    </w:p>
    <w:p>
      <w:pPr>
        <w:spacing w:before="200" w:after="60"/>
      </w:pPr>
      <w:r>
        <w:rPr>
          <w:rFonts w:ascii="Calibri" w:cs="Calibri" w:eastAsia="Calibri" w:hAnsi="Calibri"/>
          <w:b/>
          <w:bCs/>
          <w:sz w:val="22"/>
          <w:szCs w:val="22"/>
        </w:rPr>
        <w:t xml:space="preserve">8. </w:t>
      </w:r>
      <w:r>
        <w:rPr>
          <w:rFonts w:ascii="Calibri" w:cs="Calibri" w:eastAsia="Calibri" w:hAnsi="Calibri"/>
          <w:b/>
          <w:bCs/>
          <w:sz w:val="22"/>
          <w:szCs w:val="22"/>
        </w:rPr>
        <w:t xml:space="preserve">American Animal Hospital Association (AAHA) Behavior Management Guidelines Task Force (2015). </w:t>
      </w:r>
      <w:r>
        <w:rPr>
          <w:rFonts w:ascii="Calibri" w:cs="Calibri" w:eastAsia="Calibri" w:hAnsi="Calibri"/>
          <w:i/>
          <w:iCs/>
          <w:sz w:val="22"/>
          <w:szCs w:val="22"/>
        </w:rPr>
        <w:t xml:space="preserve">2015 AAHA Canine and Feline Behavior Management Guidelines - Age and Behavior</w:t>
      </w:r>
      <w:r>
        <w:rPr>
          <w:rFonts w:ascii="Calibri" w:cs="Calibri" w:eastAsia="Calibri" w:hAnsi="Calibri"/>
          <w:color w:val="336699"/>
          <w:sz w:val="20"/>
          <w:szCs w:val="20"/>
        </w:rPr>
        <w:t xml:space="preserve"> https://www.aaha.org/resources/2015-aaha-canine-and-feline-behavior-management-guidelines/age-and-behavior/</w:t>
      </w:r>
    </w:p>
    <w:p>
      <w:pPr>
        <w:spacing w:after="40"/>
        <w:ind w:left="360"/>
      </w:pPr>
      <w:r>
        <w:rPr>
          <w:rFonts w:ascii="Calibri" w:cs="Calibri" w:eastAsia="Calibri" w:hAnsi="Calibri"/>
          <w:sz w:val="22"/>
          <w:szCs w:val="22"/>
        </w:rPr>
        <w:t xml:space="preserve">Comprehensive veterinary guidelines establishing that social maturity in dogs occurs between 12-36 months of age, that most dogs relinquished to shelters are 1-3 years old during social maturity, and that veterinarians should advise clients that pets do not 'grow out' of behavioral problems. Recommends behavioral health checks at 6 months and 1 year to catch problems during this critical period.</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Authoritative clinical guidelines supporting chapter's timeline for social maturity and the critical importance of continued training through adolescence. Validates the high-stakes nature of this period (peak relinquishment age) and the need for professional support when problems emerge.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2026-02-20T00:02:09.516Z</dcterms:created>
  <dcterms:modified xsi:type="dcterms:W3CDTF">2026-02-20T00:02:09.516Z</dcterms:modified>
</cp:coreProperties>
</file>

<file path=docProps/custom.xml><?xml version="1.0" encoding="utf-8"?>
<Properties xmlns="http://schemas.openxmlformats.org/officeDocument/2006/custom-properties" xmlns:vt="http://schemas.openxmlformats.org/officeDocument/2006/docPropsVTypes"/>
</file>