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From Couch to Finish Line: The Science and Soul of Your First Marathon</w:t>
      </w:r>
    </w:p>
    <w:p>
      <w:pPr>
        <w:spacing w:after="200"/>
        <w:jc w:val="center"/>
      </w:pPr>
      <w:r>
        <w:rPr>
          <w:rFonts w:ascii="Calibri" w:cs="Calibri" w:eastAsia="Calibri" w:hAnsi="Calibri"/>
          <w:sz w:val="24"/>
          <w:szCs w:val="24"/>
        </w:rPr>
        <w:t xml:space="preserve">The Architecture of a Training Plan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both theoretical foundation and empirical evidence for the core principles of training plan architecture. Bompa's periodization framework establishes the conceptual basis for organizing training into deliberate cycles (macro/meso/micro), while Seiler's work on intensity distribution validates the 80/20 approach underlying the chapter's three workout types (easy runs, long runs, rest). The supercompensation literature (Gambetta) explains the physiological necessity of recovery weeks every 3-4 weeks, transforming rest from optional to essential. The injury prevention research (Nielsen et al., Ramskov et al.) provides crucial evidence for conservative mileage progression, particularly for long runs, and reveals limitations of the traditional 10% rule—supporting the chapter's nuanced discussion of progressive overload. The training age research (Kemler et al.) validates the concept that running experience, not just fitness, determines injury risk and appropriate training structure, justifying the presentation of multiple training plan archetypes (walk/run, 4-day, 5-day). Together, these sources demonstrate that effective marathon training architecture balances progressive stress with adequate recovery, matches training complexity to experience level, and recognizes individual variation—key pedagogical themes for helping students critically evaluate and select appropriate training plans.</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Tudor O. Bompa and G. Gregory Haff (2009). </w:t>
      </w:r>
      <w:r>
        <w:rPr>
          <w:rFonts w:ascii="Calibri" w:cs="Calibri" w:eastAsia="Calibri" w:hAnsi="Calibri"/>
          <w:i/>
          <w:iCs/>
          <w:sz w:val="22"/>
          <w:szCs w:val="22"/>
        </w:rPr>
        <w:t xml:space="preserve">Periodization: Theory and Methodology of Training (5th Edition)</w:t>
      </w:r>
      <w:r>
        <w:rPr>
          <w:rFonts w:ascii="Calibri" w:cs="Calibri" w:eastAsia="Calibri" w:hAnsi="Calibri"/>
          <w:color w:val="336699"/>
          <w:sz w:val="20"/>
          <w:szCs w:val="20"/>
        </w:rPr>
        <w:t xml:space="preserve"> https://www.amazon.com/Periodization-5th-Methodology-Training-Tudor-Bompa/dp/073607483X</w:t>
      </w:r>
    </w:p>
    <w:p>
      <w:pPr>
        <w:spacing w:after="40"/>
        <w:ind w:left="360"/>
      </w:pPr>
      <w:r>
        <w:rPr>
          <w:rFonts w:ascii="Calibri" w:cs="Calibri" w:eastAsia="Calibri" w:hAnsi="Calibri"/>
          <w:sz w:val="22"/>
          <w:szCs w:val="22"/>
        </w:rPr>
        <w:t xml:space="preserve">Foundational text on periodization training theory that presents the systematic organization of training into macrocycles, mesocycles, and microcycles. Covers the principles of progressive overload, supercompensation, adaptation cycles, and recovery strategies. Provides scientific basis for varying training intensity and volume to optimize recovery and performance while minimizing injury risk.</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is the definitive reference on periodization theory that underpins the chapter's core concepts. Bompa introduced periodization to Western training in 1963, making this essential for explaining why training plans are structured in deliberate cycles of stress and recovery. The text provides the theoretical framework for understanding mesocycles (3-4 week blocks), recovery weeks, and the relationship between training load and adaptation.</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Haugen T, Sandbakk Ø, Seiler S, Tønnessen E (2022). </w:t>
      </w:r>
      <w:r>
        <w:rPr>
          <w:rFonts w:ascii="Calibri" w:cs="Calibri" w:eastAsia="Calibri" w:hAnsi="Calibri"/>
          <w:i/>
          <w:iCs/>
          <w:sz w:val="22"/>
          <w:szCs w:val="22"/>
        </w:rPr>
        <w:t xml:space="preserve">Training Periodization, Methods, Intensity Distribution, and Volume in Highly Trained and Elite Distance Runners: A Systematic Review</w:t>
      </w:r>
      <w:r>
        <w:rPr>
          <w:rFonts w:ascii="Calibri" w:cs="Calibri" w:eastAsia="Calibri" w:hAnsi="Calibri"/>
          <w:color w:val="666666"/>
          <w:sz w:val="20"/>
          <w:szCs w:val="20"/>
        </w:rPr>
        <w:t xml:space="preserve"> DOI: 10.1123/ijspp.2021-0435</w:t>
      </w:r>
      <w:r>
        <w:rPr>
          <w:rFonts w:ascii="Calibri" w:cs="Calibri" w:eastAsia="Calibri" w:hAnsi="Calibri"/>
          <w:color w:val="336699"/>
          <w:sz w:val="20"/>
          <w:szCs w:val="20"/>
        </w:rPr>
        <w:t xml:space="preserve"> https://pubmed.ncbi.nlm.nih.gov/35418513/</w:t>
      </w:r>
    </w:p>
    <w:p>
      <w:pPr>
        <w:spacing w:after="40"/>
        <w:ind w:left="360"/>
      </w:pPr>
      <w:r>
        <w:rPr>
          <w:rFonts w:ascii="Calibri" w:cs="Calibri" w:eastAsia="Calibri" w:hAnsi="Calibri"/>
          <w:sz w:val="22"/>
          <w:szCs w:val="22"/>
        </w:rPr>
        <w:t xml:space="preserve">Systematic review of 10 studies examining periodization patterns in elite distance runners. Found that highly trained runners typically follow traditional periodization with hard-easy day patterns and pyramidal training intensity distribution. Most training (76-87%) conducted in low-intensity zones, with periodization shifting from preparatory phases toward competition.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evidence-based support for the hard-easy day principle and periodization structures discussed in the chapter. Demonstrates that elite runners use deliberate periodization strategies, validating the importance of structured training cycles. Supports the concept that most marathon training should be at easy intensities, which aligns with the chapter's emphasis on easy runs as a primary workout type.</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Seiler S (2010). </w:t>
      </w:r>
      <w:r>
        <w:rPr>
          <w:rFonts w:ascii="Calibri" w:cs="Calibri" w:eastAsia="Calibri" w:hAnsi="Calibri"/>
          <w:i/>
          <w:iCs/>
          <w:sz w:val="22"/>
          <w:szCs w:val="22"/>
        </w:rPr>
        <w:t xml:space="preserve">What is Best Practice for Training Intensity and Duration Distribution in Endurance Athletes?</w:t>
      </w:r>
      <w:r>
        <w:rPr>
          <w:rFonts w:ascii="Calibri" w:cs="Calibri" w:eastAsia="Calibri" w:hAnsi="Calibri"/>
          <w:color w:val="666666"/>
          <w:sz w:val="20"/>
          <w:szCs w:val="20"/>
        </w:rPr>
        <w:t xml:space="preserve"> DOI: 10.1123/ijspp.5.3.276</w:t>
      </w:r>
      <w:r>
        <w:rPr>
          <w:rFonts w:ascii="Calibri" w:cs="Calibri" w:eastAsia="Calibri" w:hAnsi="Calibri"/>
          <w:color w:val="336699"/>
          <w:sz w:val="20"/>
          <w:szCs w:val="20"/>
        </w:rPr>
        <w:t xml:space="preserve"> https://pubmed.ncbi.nlm.nih.gov/20861519/</w:t>
      </w:r>
    </w:p>
    <w:p>
      <w:pPr>
        <w:spacing w:after="40"/>
        <w:ind w:left="360"/>
      </w:pPr>
      <w:r>
        <w:rPr>
          <w:rFonts w:ascii="Calibri" w:cs="Calibri" w:eastAsia="Calibri" w:hAnsi="Calibri"/>
          <w:sz w:val="22"/>
          <w:szCs w:val="22"/>
        </w:rPr>
        <w:t xml:space="preserve">Seminal paper examining training intensity distribution in elite endurance athletes. Found that elite athletes spend approximately 80% of training time below first lactate threshold. Established the polarized and pyramidal training models as effective approaches for endurance performance.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scientific foundation for the chapter's emphasis on easy runs comprising the majority of marathon training. The 80/20 principle (80% easy, 20% hard) supports the three key workout types framework presented in the chapter. Validates why beginner marathon plans prioritize volume at low intensity over high-intensity work.</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Vern Gambetta (2007). </w:t>
      </w:r>
      <w:r>
        <w:rPr>
          <w:rFonts w:ascii="Calibri" w:cs="Calibri" w:eastAsia="Calibri" w:hAnsi="Calibri"/>
          <w:i/>
          <w:iCs/>
          <w:sz w:val="22"/>
          <w:szCs w:val="22"/>
        </w:rPr>
        <w:t xml:space="preserve">Defining Supercompensation Training</w:t>
      </w:r>
      <w:r>
        <w:rPr>
          <w:rFonts w:ascii="Calibri" w:cs="Calibri" w:eastAsia="Calibri" w:hAnsi="Calibri"/>
          <w:color w:val="336699"/>
          <w:sz w:val="20"/>
          <w:szCs w:val="20"/>
        </w:rPr>
        <w:t xml:space="preserve"> https://us.humankinetics.com/blogs/excerpt/defining-supercompensation-training</w:t>
      </w:r>
    </w:p>
    <w:p>
      <w:pPr>
        <w:spacing w:after="40"/>
        <w:ind w:left="360"/>
      </w:pPr>
      <w:r>
        <w:rPr>
          <w:rFonts w:ascii="Calibri" w:cs="Calibri" w:eastAsia="Calibri" w:hAnsi="Calibri"/>
          <w:sz w:val="22"/>
          <w:szCs w:val="22"/>
        </w:rPr>
        <w:t xml:space="preserve">Excerpt from 'Athletic Development' explaining the four-step supercompensation process: training stress application, recovery phase, supercompensation (adaptive rebound above baseline), and loss of supercompensation effect. Describes how proper timing of training stress and recovery leads to progressive improvement. Different biological processes (creatine phosphate, glycogen, enzymes) have different recovery timelines.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physiological rationale for why recovery weeks are essential every 3-4 weeks in marathon training. Explains supercompensation as the mechanism behind adaptation, supporting the chapter's argument that rest is not laziness but a physiological requirement. Validates the alternating stress-recovery pattern fundamental to periodized training plans.</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Nielsen RO, Buist I, Sørensen H, Lind M, Rasmussen S (2014). </w:t>
      </w:r>
      <w:r>
        <w:rPr>
          <w:rFonts w:ascii="Calibri" w:cs="Calibri" w:eastAsia="Calibri" w:hAnsi="Calibri"/>
          <w:i/>
          <w:iCs/>
          <w:sz w:val="22"/>
          <w:szCs w:val="22"/>
        </w:rPr>
        <w:t xml:space="preserve">Excessive Progression in Weekly Running Distance and Risk of Running-Related Injuries: An Association Which Varies According to Type of Injury</w:t>
      </w:r>
      <w:r>
        <w:rPr>
          <w:rFonts w:ascii="Calibri" w:cs="Calibri" w:eastAsia="Calibri" w:hAnsi="Calibri"/>
          <w:color w:val="666666"/>
          <w:sz w:val="20"/>
          <w:szCs w:val="20"/>
        </w:rPr>
        <w:t xml:space="preserve"> DOI: 10.2519/jospt.2014.5164</w:t>
      </w:r>
      <w:r>
        <w:rPr>
          <w:rFonts w:ascii="Calibri" w:cs="Calibri" w:eastAsia="Calibri" w:hAnsi="Calibri"/>
          <w:color w:val="336699"/>
          <w:sz w:val="20"/>
          <w:szCs w:val="20"/>
        </w:rPr>
        <w:t xml:space="preserve"> https://www.jospt.org/doi/10.2519/jospt.2014.5164</w:t>
      </w:r>
    </w:p>
    <w:p>
      <w:pPr>
        <w:spacing w:after="40"/>
        <w:ind w:left="360"/>
      </w:pPr>
      <w:r>
        <w:rPr>
          <w:rFonts w:ascii="Calibri" w:cs="Calibri" w:eastAsia="Calibri" w:hAnsi="Calibri"/>
          <w:sz w:val="22"/>
          <w:szCs w:val="22"/>
        </w:rPr>
        <w:t xml:space="preserve">Prospective cohort study of 874 novice runners examining the relationship between weekly mileage progression and injury. Found that runners increasing weekly distance by more than 30% over 2 weeks had higher injury rates for specific injuries (patellofemoral pain, ITBS, medial tibial stress syndrome, patellar tendinopathy). Novice runners with increases less than 10% over 2 weeks showed lowest injury rates.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empirical evidence for conservative mileage progression principles discussed in the chapter. Directly addresses the 10% rule and its limitations, supporting the chapter's nuanced discussion of progressive overload. Demonstrates why beginner marathon plans must be conservative with weekly mileage increases, connecting to the adaptation rate mismatch concept.</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Ramskov D, Rasmussen S, Sørensen H, Parner ET, Lind M, Nielsen RO (2018). </w:t>
      </w:r>
      <w:r>
        <w:rPr>
          <w:rFonts w:ascii="Calibri" w:cs="Calibri" w:eastAsia="Calibri" w:hAnsi="Calibri"/>
          <w:i/>
          <w:iCs/>
          <w:sz w:val="22"/>
          <w:szCs w:val="22"/>
        </w:rPr>
        <w:t xml:space="preserve">How Much Running is Too Much? Identifying High-Risk Running Sessions in a 5200-Person Cohort Study</w:t>
      </w:r>
      <w:r>
        <w:rPr>
          <w:rFonts w:ascii="Calibri" w:cs="Calibri" w:eastAsia="Calibri" w:hAnsi="Calibri"/>
          <w:color w:val="336699"/>
          <w:sz w:val="20"/>
          <w:szCs w:val="20"/>
        </w:rPr>
        <w:t xml:space="preserve"> https://pmc.ncbi.nlm.nih.gov/articles/PMC12421110/</w:t>
      </w:r>
    </w:p>
    <w:p>
      <w:pPr>
        <w:spacing w:after="40"/>
        <w:ind w:left="360"/>
      </w:pPr>
      <w:r>
        <w:rPr>
          <w:rFonts w:ascii="Calibri" w:cs="Calibri" w:eastAsia="Calibri" w:hAnsi="Calibri"/>
          <w:sz w:val="22"/>
          <w:szCs w:val="22"/>
        </w:rPr>
        <w:t xml:space="preserve">Large cohort study (5,205 runners, 18 months) examining session-specific vs. weekly training load progression and injury risk. Found that single-session distance spikes (&gt;10% beyond longest run in past 30 days) were more strongly associated with injury risk than week-to-week mileage changes. Small spike (10-30% increase) raised injury risk 64%; moderate spike (30-100%) raised risk 52%; large spike (&gt;100%) more than doubled injury risk.</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Refines understanding of the 10% rule, showing that single-session progression (especially long runs) is more critical than weekly volume changes. Supports the chapter's emphasis on the long run as the centerpiece requiring careful progression. Provides evidence for why training plans must be structured conservatively, particularly regarding long run advancement.</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Kemler E, Bleker S, Huisstede BM, van Middelkoop M (2018). </w:t>
      </w:r>
      <w:r>
        <w:rPr>
          <w:rFonts w:ascii="Calibri" w:cs="Calibri" w:eastAsia="Calibri" w:hAnsi="Calibri"/>
          <w:i/>
          <w:iCs/>
          <w:sz w:val="22"/>
          <w:szCs w:val="22"/>
        </w:rPr>
        <w:t xml:space="preserve">Differences in Injury Risk and Characteristics of Injuries Between Novice and Experienced Runners Over a 4-Year Period</w:t>
      </w:r>
      <w:r>
        <w:rPr>
          <w:rFonts w:ascii="Calibri" w:cs="Calibri" w:eastAsia="Calibri" w:hAnsi="Calibri"/>
          <w:color w:val="666666"/>
          <w:sz w:val="20"/>
          <w:szCs w:val="20"/>
        </w:rPr>
        <w:t xml:space="preserve"> DOI: 10.1080/00913847.2018.1507410</w:t>
      </w:r>
      <w:r>
        <w:rPr>
          <w:rFonts w:ascii="Calibri" w:cs="Calibri" w:eastAsia="Calibri" w:hAnsi="Calibri"/>
          <w:color w:val="336699"/>
          <w:sz w:val="20"/>
          <w:szCs w:val="20"/>
        </w:rPr>
        <w:t xml:space="preserve"> https://www.tandfonline.com/doi/full/10.1080/00913847.2018.1507410</w:t>
      </w:r>
    </w:p>
    <w:p>
      <w:pPr>
        <w:spacing w:after="40"/>
        <w:ind w:left="360"/>
      </w:pPr>
      <w:r>
        <w:rPr>
          <w:rFonts w:ascii="Calibri" w:cs="Calibri" w:eastAsia="Calibri" w:hAnsi="Calibri"/>
          <w:sz w:val="22"/>
          <w:szCs w:val="22"/>
        </w:rPr>
        <w:t xml:space="preserve">Large prospective study (4,621 runners over 4 years) comparing injury rates between novice runners (started within past 12 months) and experienced runners (&gt;1 year). Found twofold greater injury incidence rate in novice runners compared to experienced runners, highlighting the vulnerability of those new to the sport.</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evidence for the concept of 'training age' discussed in the chapter—that how long you've been running matters as much as current fitness level. Supports the rationale for conservative beginner-focused training plans (walk/run, 4-day/week) versus plans for experienced runners. Validates the importance of matching training plan complexity to running experience.</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Lewicka-Potocka Z, et al. (2024). </w:t>
      </w:r>
      <w:r>
        <w:rPr>
          <w:rFonts w:ascii="Calibri" w:cs="Calibri" w:eastAsia="Calibri" w:hAnsi="Calibri"/>
          <w:i/>
          <w:iCs/>
          <w:sz w:val="22"/>
          <w:szCs w:val="22"/>
        </w:rPr>
        <w:t xml:space="preserve">Physiological Effects and Adaptations of Marathon Running: A Comprehensive Review</w:t>
      </w:r>
      <w:r>
        <w:rPr>
          <w:rFonts w:ascii="Calibri" w:cs="Calibri" w:eastAsia="Calibri" w:hAnsi="Calibri"/>
          <w:color w:val="336699"/>
          <w:sz w:val="20"/>
          <w:szCs w:val="20"/>
        </w:rPr>
        <w:t xml:space="preserve"> https://www.researchgate.net/publication/398398716_Physiological_Effects_and_Adaptations_of_Marathon_Running_A_Comprehensive_Review</w:t>
      </w:r>
    </w:p>
    <w:p>
      <w:pPr>
        <w:spacing w:after="40"/>
        <w:ind w:left="360"/>
      </w:pPr>
      <w:r>
        <w:rPr>
          <w:rFonts w:ascii="Calibri" w:cs="Calibri" w:eastAsia="Calibri" w:hAnsi="Calibri"/>
          <w:sz w:val="22"/>
          <w:szCs w:val="22"/>
        </w:rPr>
        <w:t xml:space="preserve">Comprehensive narrative review examining systemic adaptations from marathon training including increased VO2max, improved lipid profile, enhanced musculoskeletal efficiency, and neurohormonal regulation. Notes that physiological strain correlates with training volume, experience, and recovery strategies. Emphasizes individualized approaches to training and recovery are essential to maximize benefits and minimize risks.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Supports the chapter's discussion of how the body adapts to marathon training through structured progressive overload. Emphasizes the critical role of recovery strategies and the relationship between training experience and adaptation capacity. Validates the need for individualized training plan selection based on starting point and life circumstances.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2026-02-20T09:46:59.951Z</dcterms:created>
  <dcterms:modified xsi:type="dcterms:W3CDTF">2026-02-20T09:46:59.951Z</dcterms:modified>
</cp:coreProperties>
</file>

<file path=docProps/custom.xml><?xml version="1.0" encoding="utf-8"?>
<Properties xmlns="http://schemas.openxmlformats.org/officeDocument/2006/custom-properties" xmlns:vt="http://schemas.openxmlformats.org/officeDocument/2006/docPropsVTypes"/>
</file>