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Your Body Is Talking — Learn to Listen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robust evidence base for teaching beginners to listen to their bodies and distinguish between normal training adaptation and injury warning signs. The epidemiological studies (Kakouris 2021, Taunton 2012) establish which injuries are most common and why - grounding the chapter in real incidence data rather than anecdote. The cardiovascular-musculoskeletal adaptation gap emerges as the primary explanatory framework across multiple sources, explaining why overuse injuries announce themselves with warning signs before becoming serious. The strength training evidence (Blagrove 2022, 2024) supports targeted exercises for injury risk reduction while honestly acknowledging limitations - teaching students to be critical consumers of fitness advice. The foam rolling meta-analyses (Wiewelhove 2019, Hendricks 2020) model how to present evidence honestly even when it contradicts popular beliefs. The footwear reviews (Malisoux 2020, Napier 2022) provide strong evidence for the comfort-over-correction principle, empowering students to trust their own sensory feedback. Key pedagogical takeaway: This evidence base supports teaching students both physiological knowledge (what causes injuries, how tissues adapt) and honest self-awareness (distinguishing discomfort from pain, trusting comfort signals) as equally important skills for injury prevention. The research consistently shows that simple, honest approaches (comfort-based shoe selection, progressive loading, attention to warning signs) outperform complex prescriptive systems, which is an empowering message for beginners who may feel overwhelmed by contradictory advice in running culture.</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Kakouris, N., Yener, N., and Fong, D.T. (2021). </w:t>
      </w:r>
      <w:r>
        <w:rPr>
          <w:rFonts w:ascii="Calibri" w:cs="Calibri" w:eastAsia="Calibri" w:hAnsi="Calibri"/>
          <w:i/>
          <w:iCs/>
          <w:sz w:val="22"/>
          <w:szCs w:val="22"/>
        </w:rPr>
        <w:t xml:space="preserve">A systematic review of running-related musculoskeletal injuries in runners</w:t>
      </w:r>
      <w:r>
        <w:rPr>
          <w:rFonts w:ascii="Calibri" w:cs="Calibri" w:eastAsia="Calibri" w:hAnsi="Calibri"/>
          <w:color w:val="666666"/>
          <w:sz w:val="20"/>
          <w:szCs w:val="20"/>
        </w:rPr>
        <w:t xml:space="preserve"> DOI: 10.1016/j.jshs.2021.04.001</w:t>
      </w:r>
      <w:r>
        <w:rPr>
          <w:rFonts w:ascii="Calibri" w:cs="Calibri" w:eastAsia="Calibri" w:hAnsi="Calibri"/>
          <w:color w:val="336699"/>
          <w:sz w:val="20"/>
          <w:szCs w:val="20"/>
        </w:rPr>
        <w:t xml:space="preserve"> https://pubmed.ncbi.nlm.nih.gov/33862272/</w:t>
      </w:r>
    </w:p>
    <w:p>
      <w:pPr>
        <w:spacing w:after="40"/>
        <w:ind w:left="360"/>
      </w:pPr>
      <w:r>
        <w:rPr>
          <w:rFonts w:ascii="Calibri" w:cs="Calibri" w:eastAsia="Calibri" w:hAnsi="Calibri"/>
          <w:sz w:val="22"/>
          <w:szCs w:val="22"/>
        </w:rPr>
        <w:t xml:space="preserve">Systematic review of 42 studies finding overall injury incidence of 40.2% and prevalence of 44.6% among runners. Most frequent injuries were patellofemoral pain syndrome (15.8-16.7%), medial tibial stress syndrome (9.1-9.4%), Achilles tendinopathy (10.3-13.7%), plantar fasciitis (6.1-7.9%), and iliotibial band syndrome (7.9%). Knee, ankle, and lower leg accounted for highest proportion of injuries.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epidemiological foundation for which injuries to cover in the chapter, confirming the five injuries mentioned are indeed the most common. Critical for establishing why these specific conditions deserve focus in a beginner marathon training course.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Taunton, J.E. et al. (2012). </w:t>
      </w:r>
      <w:r>
        <w:rPr>
          <w:rFonts w:ascii="Calibri" w:cs="Calibri" w:eastAsia="Calibri" w:hAnsi="Calibri"/>
          <w:i/>
          <w:iCs/>
          <w:sz w:val="22"/>
          <w:szCs w:val="22"/>
        </w:rPr>
        <w:t xml:space="preserve">Suspected Mechanisms in the Cause of Overuse Running Injuries: A Clinical Review</w:t>
      </w:r>
      <w:r>
        <w:rPr>
          <w:rFonts w:ascii="Calibri" w:cs="Calibri" w:eastAsia="Calibri" w:hAnsi="Calibri"/>
          <w:color w:val="666666"/>
          <w:sz w:val="20"/>
          <w:szCs w:val="20"/>
        </w:rPr>
        <w:t xml:space="preserve"> DOI: 10.2165/11595370-000000000-00000</w:t>
      </w:r>
      <w:r>
        <w:rPr>
          <w:rFonts w:ascii="Calibri" w:cs="Calibri" w:eastAsia="Calibri" w:hAnsi="Calibri"/>
          <w:color w:val="336699"/>
          <w:sz w:val="20"/>
          <w:szCs w:val="20"/>
        </w:rPr>
        <w:t xml:space="preserve"> https://pmc.ncbi.nlm.nih.gov/articles/PMC3445255/</w:t>
      </w:r>
    </w:p>
    <w:p>
      <w:pPr>
        <w:spacing w:after="40"/>
        <w:ind w:left="360"/>
      </w:pPr>
      <w:r>
        <w:rPr>
          <w:rFonts w:ascii="Calibri" w:cs="Calibri" w:eastAsia="Calibri" w:hAnsi="Calibri"/>
          <w:sz w:val="22"/>
          <w:szCs w:val="22"/>
        </w:rPr>
        <w:t xml:space="preserve">Clinical review finding that 70% of runners sustain overuse injuries annually, with more than 80% occurring at or below the knee. The knee is the most common site accounting for close to 50% of all injuries. Discusses the cardiovascular-musculoskeletal adaptation gap as explanatory framework for why overuse injuries occur, particularly the concept that few overuse running injuries have an established cause.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central framework about the cardiovascular-musculoskeletal adaptation gap. Provides the theoretical foundation for explaining why beginners are particularly vulnerable to overuse injuries and why warning signs appear before serious damage occurs.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Blagrove, R.C. et al. (2024). </w:t>
      </w:r>
      <w:r>
        <w:rPr>
          <w:rFonts w:ascii="Calibri" w:cs="Calibri" w:eastAsia="Calibri" w:hAnsi="Calibri"/>
          <w:i/>
          <w:iCs/>
          <w:sz w:val="22"/>
          <w:szCs w:val="22"/>
        </w:rPr>
        <w:t xml:space="preserve">Do Exercise-Based Prevention Programs Reduce Injury in Endurance Runners? A Systematic Review and Meta-Analysis</w:t>
      </w:r>
      <w:r>
        <w:rPr>
          <w:rFonts w:ascii="Calibri" w:cs="Calibri" w:eastAsia="Calibri" w:hAnsi="Calibri"/>
          <w:color w:val="336699"/>
          <w:sz w:val="20"/>
          <w:szCs w:val="20"/>
        </w:rPr>
        <w:t xml:space="preserve"> https://pubmed.ncbi.nlm.nih.gov/38261240/</w:t>
      </w:r>
    </w:p>
    <w:p>
      <w:pPr>
        <w:spacing w:after="40"/>
        <w:ind w:left="360"/>
      </w:pPr>
      <w:r>
        <w:rPr>
          <w:rFonts w:ascii="Calibri" w:cs="Calibri" w:eastAsia="Calibri" w:hAnsi="Calibri"/>
          <w:sz w:val="22"/>
          <w:szCs w:val="22"/>
        </w:rPr>
        <w:t xml:space="preserve">Meta-analysis of 9 studies with 1,904 participants finding that exercise-based interventions do not appear to reduce the risk and rate of running-related injuries overall. However, supervised interventions showed significantly lower injury risk compared to control groups. The review emphasizes the complexity of injury prevention and the importance of supervision for effectiveness.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honest, evidence-based context for strength training recommendations. Supports the chapter's approach of presenting evidence honestly rather than overpromising injury prevention benefits, while highlighting that supervised/guided programs may be more effective than self-directed approaches.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Blagrove, R.C. et al. (2022). </w:t>
      </w:r>
      <w:r>
        <w:rPr>
          <w:rFonts w:ascii="Calibri" w:cs="Calibri" w:eastAsia="Calibri" w:hAnsi="Calibri"/>
          <w:i/>
          <w:iCs/>
          <w:sz w:val="22"/>
          <w:szCs w:val="22"/>
        </w:rPr>
        <w:t xml:space="preserve">Resistance Exercise for Improving Running Economy and Running Biomechanics and Decreasing Running-Related Injury Risk: A Narrative Review</w:t>
      </w:r>
      <w:r>
        <w:rPr>
          <w:rFonts w:ascii="Calibri" w:cs="Calibri" w:eastAsia="Calibri" w:hAnsi="Calibri"/>
          <w:color w:val="336699"/>
          <w:sz w:val="20"/>
          <w:szCs w:val="20"/>
        </w:rPr>
        <w:t xml:space="preserve"> https://pmc.ncbi.nlm.nih.gov/articles/PMC9319953/</w:t>
      </w:r>
    </w:p>
    <w:p>
      <w:pPr>
        <w:spacing w:after="40"/>
        <w:ind w:left="360"/>
      </w:pPr>
      <w:r>
        <w:rPr>
          <w:rFonts w:ascii="Calibri" w:cs="Calibri" w:eastAsia="Calibri" w:hAnsi="Calibri"/>
          <w:sz w:val="22"/>
          <w:szCs w:val="22"/>
        </w:rPr>
        <w:t xml:space="preserve">Comprehensive review showing that lower limb resistance exercise is effective for improving running economy, with combination of strength and plyometric training recommended. Evidence shows RE may help reduce running-related injury risk, but further evidence is needed. The most prevalent injuries are medial tibial stress syndrome, Achilles tendinopathy, plantar fasciitis, patellar tendinopathy, iliotibial band syndrome, stress fractures, and patellofemoral pain syndrome.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targeted strength training recommendations for runners, specifically addressing glutes, hips, and core. Provides evidence base for 'not bodybuilding, but targeted exercises' approach mentioned in chapter description, while honestly noting limitations in current research.</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Wiewelhove, T. et al. (2019). </w:t>
      </w:r>
      <w:r>
        <w:rPr>
          <w:rFonts w:ascii="Calibri" w:cs="Calibri" w:eastAsia="Calibri" w:hAnsi="Calibri"/>
          <w:i/>
          <w:iCs/>
          <w:sz w:val="22"/>
          <w:szCs w:val="22"/>
        </w:rPr>
        <w:t xml:space="preserve">A Meta-Analysis of the Effects of Foam Rolling on Performance and Recovery</w:t>
      </w:r>
      <w:r>
        <w:rPr>
          <w:rFonts w:ascii="Calibri" w:cs="Calibri" w:eastAsia="Calibri" w:hAnsi="Calibri"/>
          <w:color w:val="666666"/>
          <w:sz w:val="20"/>
          <w:szCs w:val="20"/>
        </w:rPr>
        <w:t xml:space="preserve"> DOI: 10.3389/fphys.2019.00376</w:t>
      </w:r>
      <w:r>
        <w:rPr>
          <w:rFonts w:ascii="Calibri" w:cs="Calibri" w:eastAsia="Calibri" w:hAnsi="Calibri"/>
          <w:color w:val="336699"/>
          <w:sz w:val="20"/>
          <w:szCs w:val="20"/>
        </w:rPr>
        <w:t xml:space="preserve"> https://pubmed.ncbi.nlm.nih.gov/31024339/</w:t>
      </w:r>
    </w:p>
    <w:p>
      <w:pPr>
        <w:spacing w:after="40"/>
        <w:ind w:left="360"/>
      </w:pPr>
      <w:r>
        <w:rPr>
          <w:rFonts w:ascii="Calibri" w:cs="Calibri" w:eastAsia="Calibri" w:hAnsi="Calibri"/>
          <w:sz w:val="22"/>
          <w:szCs w:val="22"/>
        </w:rPr>
        <w:t xml:space="preserve">Meta-analysis of 21 studies finding foam rolling has minor and partly negligible effects on performance and recovery. Pre-rolling resulted in small improvement in sprint performance and flexibility, while post-rolling slightly attenuated exercise-induced decreases and reduced muscle pain perception. Overall effects determined to be rather minor but can be relevant in some cases (e.g., to reduce muscle pain sensation).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honest, evidence-based assessment of foam rolling - showing modest benefits, mostly neurological - exactly as chapter description indicates. Supports the approach of presenting evidence honestly rather than overselling popular recovery techniques.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Hendricks, S. et al. (2020). </w:t>
      </w:r>
      <w:r>
        <w:rPr>
          <w:rFonts w:ascii="Calibri" w:cs="Calibri" w:eastAsia="Calibri" w:hAnsi="Calibri"/>
          <w:i/>
          <w:iCs/>
          <w:sz w:val="22"/>
          <w:szCs w:val="22"/>
        </w:rPr>
        <w:t xml:space="preserve">A systematic review and meta-analysis of the effects of foam rolling on range of motion, recovery and markers of athletic performance</w:t>
      </w:r>
      <w:r>
        <w:rPr>
          <w:rFonts w:ascii="Calibri" w:cs="Calibri" w:eastAsia="Calibri" w:hAnsi="Calibri"/>
          <w:color w:val="666666"/>
          <w:sz w:val="20"/>
          <w:szCs w:val="20"/>
        </w:rPr>
        <w:t xml:space="preserve"> DOI: 10.1016/j.jbmt.2020.02.014</w:t>
      </w:r>
      <w:r>
        <w:rPr>
          <w:rFonts w:ascii="Calibri" w:cs="Calibri" w:eastAsia="Calibri" w:hAnsi="Calibri"/>
          <w:color w:val="336699"/>
          <w:sz w:val="20"/>
          <w:szCs w:val="20"/>
        </w:rPr>
        <w:t xml:space="preserve"> https://pubmed.ncbi.nlm.nih.gov/32825976/</w:t>
      </w:r>
    </w:p>
    <w:p>
      <w:pPr>
        <w:spacing w:after="40"/>
        <w:ind w:left="360"/>
      </w:pPr>
      <w:r>
        <w:rPr>
          <w:rFonts w:ascii="Calibri" w:cs="Calibri" w:eastAsia="Calibri" w:hAnsi="Calibri"/>
          <w:sz w:val="22"/>
          <w:szCs w:val="22"/>
        </w:rPr>
        <w:t xml:space="preserve">Systematic review of 32 studies finding foam rolling increases range of motion and appears useful for recovery from exercise-induced muscle damage, with no detrimental effects on other athletic performance measures. Effects are modest but consistent across multiple studies.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Confirms modest benefits of foam rolling mentioned in chapter description, providing evidence base for honest assessment that it's less transformative than often claimed but has some neurological and recovery benefits worth considering.</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Malisoux, L. and Theisen, D. (2020). </w:t>
      </w:r>
      <w:r>
        <w:rPr>
          <w:rFonts w:ascii="Calibri" w:cs="Calibri" w:eastAsia="Calibri" w:hAnsi="Calibri"/>
          <w:i/>
          <w:iCs/>
          <w:sz w:val="22"/>
          <w:szCs w:val="22"/>
        </w:rPr>
        <w:t xml:space="preserve">Can the 'Appropriate' Footwear Prevent Injury in Leisure-Time Running? Evidence Versus Beliefs</w:t>
      </w:r>
      <w:r>
        <w:rPr>
          <w:rFonts w:ascii="Calibri" w:cs="Calibri" w:eastAsia="Calibri" w:hAnsi="Calibri"/>
          <w:color w:val="336699"/>
          <w:sz w:val="20"/>
          <w:szCs w:val="20"/>
        </w:rPr>
        <w:t xml:space="preserve"> https://pmc.ncbi.nlm.nih.gov/articles/PMC7740063/</w:t>
      </w:r>
    </w:p>
    <w:p>
      <w:pPr>
        <w:spacing w:after="40"/>
        <w:ind w:left="360"/>
      </w:pPr>
      <w:r>
        <w:rPr>
          <w:rFonts w:ascii="Calibri" w:cs="Calibri" w:eastAsia="Calibri" w:hAnsi="Calibri"/>
          <w:sz w:val="22"/>
          <w:szCs w:val="22"/>
        </w:rPr>
        <w:t xml:space="preserve">Literature review concluding that the role of running shoe technology in injury prevention has been largely overrated. Recent findings indicate cushioning had preventive effect especially in light runners, but results need confirmation. Introduces the 'comfort filter' paradigm suggesting that subjective feeling of comfort when choosing running shoes is more important than prescription based on foot type.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chapter's evidence-based position that 'comfort matters more than correction' for running shoes. Provides scientific foundation for moving away from traditional prescription approaches and toward comfort-based selection, a key pedagogical point for beginners.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Napier, C. and Willy, R.W. (2022). </w:t>
      </w:r>
      <w:r>
        <w:rPr>
          <w:rFonts w:ascii="Calibri" w:cs="Calibri" w:eastAsia="Calibri" w:hAnsi="Calibri"/>
          <w:i/>
          <w:iCs/>
          <w:sz w:val="22"/>
          <w:szCs w:val="22"/>
        </w:rPr>
        <w:t xml:space="preserve">Running Injury Paradigms and Their Influence on Footwear Design Features and Runner Assessment Methods: A Focused Review</w:t>
      </w:r>
      <w:r>
        <w:rPr>
          <w:rFonts w:ascii="Calibri" w:cs="Calibri" w:eastAsia="Calibri" w:hAnsi="Calibri"/>
          <w:color w:val="666666"/>
          <w:sz w:val="20"/>
          <w:szCs w:val="20"/>
        </w:rPr>
        <w:t xml:space="preserve"> DOI: 10.3389/fspor.2022.815675</w:t>
      </w:r>
      <w:r>
        <w:rPr>
          <w:rFonts w:ascii="Calibri" w:cs="Calibri" w:eastAsia="Calibri" w:hAnsi="Calibri"/>
          <w:color w:val="336699"/>
          <w:sz w:val="20"/>
          <w:szCs w:val="20"/>
        </w:rPr>
        <w:t xml:space="preserve"> https://pmc.ncbi.nlm.nih.gov/articles/PMC8959543/</w:t>
      </w:r>
    </w:p>
    <w:p>
      <w:pPr>
        <w:spacing w:after="40"/>
        <w:ind w:left="360"/>
      </w:pPr>
      <w:r>
        <w:rPr>
          <w:rFonts w:ascii="Calibri" w:cs="Calibri" w:eastAsia="Calibri" w:hAnsi="Calibri"/>
          <w:sz w:val="22"/>
          <w:szCs w:val="22"/>
        </w:rPr>
        <w:t xml:space="preserve">Focused review finding that evidence in support of any footwear paradigm is generally limited. Reducing running-related injuries by controlling pronation is not strongly supported by current evidence. Heavily cushioned shoes do not consistently reduce vertical ground reaction forces or injuries. Recommends footwear that is lightweight, comfortable, and has minimal pronation control technology in absence of clearly supported paradigm.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comprehensive evidence review supporting chapter's position on running shoes. Critical for helping students understand why comfort matters more than correction, and why they should be skeptical of prescriptive shoe-matching systems often promoted in retail settings.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2026-02-20T09:48:07.399Z</dcterms:created>
  <dcterms:modified xsi:type="dcterms:W3CDTF">2026-02-20T09:48:07.399Z</dcterms:modified>
</cp:coreProperties>
</file>

<file path=docProps/custom.xml><?xml version="1.0" encoding="utf-8"?>
<Properties xmlns="http://schemas.openxmlformats.org/officeDocument/2006/custom-properties" xmlns:vt="http://schemas.openxmlformats.org/officeDocument/2006/docPropsVTypes"/>
</file>