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From Couch to Finish Line: The Science and Soul of Your First Marathon</w:t>
      </w:r>
    </w:p>
    <w:p>
      <w:pPr>
        <w:spacing w:after="200"/>
        <w:jc w:val="center"/>
      </w:pPr>
      <w:r>
        <w:rPr>
          <w:rFonts w:ascii="Calibri" w:cs="Calibri" w:eastAsia="Calibri" w:hAnsi="Calibri"/>
          <w:sz w:val="24"/>
          <w:szCs w:val="24"/>
        </w:rPr>
        <w:t xml:space="preserve">Fuel, Not Punishment: Eating and Drinking for the Long Run — Research Dossier</w:t>
      </w:r>
    </w:p>
    <w:p>
      <w:pPr>
        <w:pBdr>
          <w:bottom w:val="single" w:color="999999" w:sz="1"/>
        </w:pBdr>
        <w:spacing w:after="200"/>
      </w:pPr>
    </w:p>
    <w:p>
      <w:pPr>
        <w:pStyle w:val="Heading2"/>
        <w:spacing w:before="200" w:after="120"/>
      </w:pPr>
      <w:r>
        <w:rPr>
          <w:rFonts w:ascii="Calibri" w:cs="Calibri" w:eastAsia="Calibri" w:hAnsi="Calibri"/>
          <w:b/>
          <w:bCs/>
          <w:sz w:val="24"/>
          <w:szCs w:val="24"/>
        </w:rPr>
        <w:t xml:space="preserve">Synthesis Notes</w:t>
      </w:r>
    </w:p>
    <w:p>
      <w:pPr>
        <w:spacing w:after="200"/>
      </w:pPr>
      <w:r>
        <w:rPr>
          <w:rFonts w:ascii="Calibri" w:cs="Calibri" w:eastAsia="Calibri" w:hAnsi="Calibri"/>
          <w:sz w:val="22"/>
          <w:szCs w:val="22"/>
        </w:rPr>
        <w:t xml:space="preserve">These sources collectively provide comprehensive evidence-based support for all major themes in the 'Fuel, Not Punishment' chapter. Rapoport (2010) and the large-scale marathon data analysis establish the physiological reality of 'the wall' and why marathons uniquely challenge energy stores. Burke et al. (2011) provides the foundational science for daily training nutrition and race-day carbohydrate recommendations, while Cox et al. (2010) demonstrates why adequate carbohydrate availability during training enhances adaptation. The RED-S literature addresses the critical issue of chronic under-fueling and its connection to injury risk, directly supporting the chapter's emphasis on adequate daily nutrition and rejection of 'running to burn calories' mentality. Costa et al. (2017) provides compelling evidence for gut training and practicing race-day fueling, addressing GI distress prevention. The hydration sources (Casa 2021, ACSM 2007) debunk common myths and provide practical methods for individualized hydration planning based on sweat rate. Together, these sources enable an evidence-based, empowering approach to marathon nutrition that avoids rigid rules while providing actionable frameworks for both daily fueling and race-day strategy. The pedagogical value lies in demystifying 'the wall,' connecting nutrition to injury prevention, and giving students practical tools (sweat rate calculation, gut training protocols) they can implement immediately.</w:t>
      </w:r>
    </w:p>
    <w:p>
      <w:pPr>
        <w:pStyle w:val="Heading2"/>
        <w:spacing w:before="200" w:after="120"/>
      </w:pPr>
      <w:r>
        <w:rPr>
          <w:rFonts w:ascii="Calibri" w:cs="Calibri" w:eastAsia="Calibri" w:hAnsi="Calibri"/>
          <w:b/>
          <w:bCs/>
          <w:sz w:val="24"/>
          <w:szCs w:val="24"/>
        </w:rPr>
        <w:t xml:space="preserve">Sources (8)</w:t>
      </w:r>
    </w:p>
    <w:p>
      <w:pPr>
        <w:spacing w:before="200" w:after="60"/>
      </w:pPr>
      <w:r>
        <w:rPr>
          <w:rFonts w:ascii="Calibri" w:cs="Calibri" w:eastAsia="Calibri" w:hAnsi="Calibri"/>
          <w:b/>
          <w:bCs/>
          <w:sz w:val="22"/>
          <w:szCs w:val="22"/>
        </w:rPr>
        <w:t xml:space="preserve">1. </w:t>
      </w:r>
      <w:r>
        <w:rPr>
          <w:rFonts w:ascii="Calibri" w:cs="Calibri" w:eastAsia="Calibri" w:hAnsi="Calibri"/>
          <w:b/>
          <w:bCs/>
          <w:sz w:val="22"/>
          <w:szCs w:val="22"/>
        </w:rPr>
        <w:t xml:space="preserve">Benjamin I. Rapoport (2010). </w:t>
      </w:r>
      <w:r>
        <w:rPr>
          <w:rFonts w:ascii="Calibri" w:cs="Calibri" w:eastAsia="Calibri" w:hAnsi="Calibri"/>
          <w:i/>
          <w:iCs/>
          <w:sz w:val="22"/>
          <w:szCs w:val="22"/>
        </w:rPr>
        <w:t xml:space="preserve">Metabolic Factors Limiting Performance in Marathon Runners</w:t>
      </w:r>
      <w:r>
        <w:rPr>
          <w:rFonts w:ascii="Calibri" w:cs="Calibri" w:eastAsia="Calibri" w:hAnsi="Calibri"/>
          <w:color w:val="666666"/>
          <w:sz w:val="20"/>
          <w:szCs w:val="20"/>
        </w:rPr>
        <w:t xml:space="preserve"> DOI: 10.1371/journal.pcbi.1000960</w:t>
      </w:r>
      <w:r>
        <w:rPr>
          <w:rFonts w:ascii="Calibri" w:cs="Calibri" w:eastAsia="Calibri" w:hAnsi="Calibri"/>
          <w:color w:val="336699"/>
          <w:sz w:val="20"/>
          <w:szCs w:val="20"/>
        </w:rPr>
        <w:t xml:space="preserve"> https://journals.plos.org/ploscompbiol/article?id=10.1371/journal.pcbi.1000960</w:t>
      </w:r>
    </w:p>
    <w:p>
      <w:pPr>
        <w:spacing w:after="40"/>
        <w:ind w:left="360"/>
      </w:pPr>
      <w:r>
        <w:rPr>
          <w:rFonts w:ascii="Calibri" w:cs="Calibri" w:eastAsia="Calibri" w:hAnsi="Calibri"/>
          <w:sz w:val="22"/>
          <w:szCs w:val="22"/>
        </w:rPr>
        <w:t xml:space="preserve">Computational study demonstrating that more than two-fifths of marathon runners experience severe glycogen depletion ('hitting the wall'), typically after mile 20. The model shows that energetic constraints depend on individual physiologic variables including leg muscle mass, liver and muscle glycogen density, and running speed relative to aerobic capacity. Provides equations for personalized fueling strategies to prevent glycogen depletion.</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Foundational paper explaining the physiological basis of 'the wall' in marathons and why the marathon distance uniquely sits at the boundary of glycogen depletion. Directly supports the chapter's goal of understanding this phenomenon physiologically rather than mythically.</w:t>
      </w:r>
    </w:p>
    <w:p>
      <w:pPr>
        <w:spacing w:before="200" w:after="60"/>
      </w:pPr>
      <w:r>
        <w:rPr>
          <w:rFonts w:ascii="Calibri" w:cs="Calibri" w:eastAsia="Calibri" w:hAnsi="Calibri"/>
          <w:b/>
          <w:bCs/>
          <w:sz w:val="22"/>
          <w:szCs w:val="22"/>
        </w:rPr>
        <w:t xml:space="preserve">2. </w:t>
      </w:r>
      <w:r>
        <w:rPr>
          <w:rFonts w:ascii="Calibri" w:cs="Calibri" w:eastAsia="Calibri" w:hAnsi="Calibri"/>
          <w:b/>
          <w:bCs/>
          <w:sz w:val="22"/>
          <w:szCs w:val="22"/>
        </w:rPr>
        <w:t xml:space="preserve">Louise M. Burke, John A. Hawley, Stephen H.S. Wong, Asker E. Jeukendrup (2011). </w:t>
      </w:r>
      <w:r>
        <w:rPr>
          <w:rFonts w:ascii="Calibri" w:cs="Calibri" w:eastAsia="Calibri" w:hAnsi="Calibri"/>
          <w:i/>
          <w:iCs/>
          <w:sz w:val="22"/>
          <w:szCs w:val="22"/>
        </w:rPr>
        <w:t xml:space="preserve">Carbohydrates for training and competition</w:t>
      </w:r>
      <w:r>
        <w:rPr>
          <w:rFonts w:ascii="Calibri" w:cs="Calibri" w:eastAsia="Calibri" w:hAnsi="Calibri"/>
          <w:color w:val="666666"/>
          <w:sz w:val="20"/>
          <w:szCs w:val="20"/>
        </w:rPr>
        <w:t xml:space="preserve"> DOI: 10.1080/02640414.2011.585473</w:t>
      </w:r>
      <w:r>
        <w:rPr>
          <w:rFonts w:ascii="Calibri" w:cs="Calibri" w:eastAsia="Calibri" w:hAnsi="Calibri"/>
          <w:color w:val="336699"/>
          <w:sz w:val="20"/>
          <w:szCs w:val="20"/>
        </w:rPr>
        <w:t xml:space="preserve"> https://www.tandfonline.com/doi/full/10.1080/02640414.2011.585473</w:t>
      </w:r>
    </w:p>
    <w:p>
      <w:pPr>
        <w:spacing w:after="40"/>
        <w:ind w:left="360"/>
      </w:pPr>
      <w:r>
        <w:rPr>
          <w:rFonts w:ascii="Calibri" w:cs="Calibri" w:eastAsia="Calibri" w:hAnsi="Calibri"/>
          <w:sz w:val="22"/>
          <w:szCs w:val="22"/>
        </w:rPr>
        <w:t xml:space="preserve">Comprehensive review of carbohydrate intake guidelines for athletes. Discusses how carbohydrate availability affects performance, provides updated guidelines for daily intake, pre-exercise fueling, during-exercise consumption (scaled to event characteristics), and post-exercise recovery. Introduces concept of periodized carbohydrate intake based on training demands and addresses the 'train-low' debate.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Essential reference for evidence-based carbohydrate recommendations for marathon training and racing. Provides the scientific foundation for daily nutrition guidance and race-day fueling strategies that form core content of the chapter.</w:t>
      </w:r>
    </w:p>
    <w:p>
      <w:pPr>
        <w:spacing w:before="200" w:after="60"/>
      </w:pPr>
      <w:r>
        <w:rPr>
          <w:rFonts w:ascii="Calibri" w:cs="Calibri" w:eastAsia="Calibri" w:hAnsi="Calibri"/>
          <w:b/>
          <w:bCs/>
          <w:sz w:val="22"/>
          <w:szCs w:val="22"/>
        </w:rPr>
        <w:t xml:space="preserve">3. </w:t>
      </w:r>
      <w:r>
        <w:rPr>
          <w:rFonts w:ascii="Calibri" w:cs="Calibri" w:eastAsia="Calibri" w:hAnsi="Calibri"/>
          <w:b/>
          <w:bCs/>
          <w:sz w:val="22"/>
          <w:szCs w:val="22"/>
        </w:rPr>
        <w:t xml:space="preserve">Multiple authors (narrative review) (2022). </w:t>
      </w:r>
      <w:r>
        <w:rPr>
          <w:rFonts w:ascii="Calibri" w:cs="Calibri" w:eastAsia="Calibri" w:hAnsi="Calibri"/>
          <w:i/>
          <w:iCs/>
          <w:sz w:val="22"/>
          <w:szCs w:val="22"/>
        </w:rPr>
        <w:t xml:space="preserve">Relative Energy Deficiency in Sport (RED-S): Scientific, Clinical, and Practical Implications for the Female Athlete</w:t>
      </w:r>
      <w:r>
        <w:rPr>
          <w:rFonts w:ascii="Calibri" w:cs="Calibri" w:eastAsia="Calibri" w:hAnsi="Calibri"/>
          <w:color w:val="336699"/>
          <w:sz w:val="20"/>
          <w:szCs w:val="20"/>
        </w:rPr>
        <w:t xml:space="preserve"> https://pmc.ncbi.nlm.nih.gov/articles/PMC9724109/</w:t>
      </w:r>
    </w:p>
    <w:p>
      <w:pPr>
        <w:spacing w:after="40"/>
        <w:ind w:left="360"/>
      </w:pPr>
      <w:r>
        <w:rPr>
          <w:rFonts w:ascii="Calibri" w:cs="Calibri" w:eastAsia="Calibri" w:hAnsi="Calibri"/>
          <w:sz w:val="22"/>
          <w:szCs w:val="22"/>
        </w:rPr>
        <w:t xml:space="preserve">Comprehensive review of RED-S syndrome resulting from chronic low energy availability in athletes. Explains that inadequate fueling compromises training adaptation, performance capacity, and health. Discusses clinical manifestations, detection methods, and maintaining energy availability &gt;45 kcal/kg FFM/day. Notes RED-S prevalence in endurance athletes and connection to menstrual dysfunction, bone health, and broader health consequences.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Critical for addressing the chapter's emphasis on adequate daily fueling and the risks of under-fueling during marathon training. Directly connects to injury prevention themes and the toxic 'running to burn calories' mindset the chapter aims to address.</w:t>
      </w:r>
    </w:p>
    <w:p>
      <w:pPr>
        <w:spacing w:before="200" w:after="60"/>
      </w:pPr>
      <w:r>
        <w:rPr>
          <w:rFonts w:ascii="Calibri" w:cs="Calibri" w:eastAsia="Calibri" w:hAnsi="Calibri"/>
          <w:b/>
          <w:bCs/>
          <w:sz w:val="22"/>
          <w:szCs w:val="22"/>
        </w:rPr>
        <w:t xml:space="preserve">4. </w:t>
      </w:r>
      <w:r>
        <w:rPr>
          <w:rFonts w:ascii="Calibri" w:cs="Calibri" w:eastAsia="Calibri" w:hAnsi="Calibri"/>
          <w:b/>
          <w:bCs/>
          <w:sz w:val="22"/>
          <w:szCs w:val="22"/>
        </w:rPr>
        <w:t xml:space="preserve">Cox GR, Clark SA, Cox AJ, Halson SL, Hargreaves M, Hawley JA, Jeacocke N, Snow RJ, Yeo WK, Burke LM (2010). </w:t>
      </w:r>
      <w:r>
        <w:rPr>
          <w:rFonts w:ascii="Calibri" w:cs="Calibri" w:eastAsia="Calibri" w:hAnsi="Calibri"/>
          <w:i/>
          <w:iCs/>
          <w:sz w:val="22"/>
          <w:szCs w:val="22"/>
        </w:rPr>
        <w:t xml:space="preserve">Daily training with high carbohydrate availability increases exogenous carbohydrate oxidation during endurance cycling</w:t>
      </w:r>
      <w:r>
        <w:rPr>
          <w:rFonts w:ascii="Calibri" w:cs="Calibri" w:eastAsia="Calibri" w:hAnsi="Calibri"/>
          <w:color w:val="666666"/>
          <w:sz w:val="20"/>
          <w:szCs w:val="20"/>
        </w:rPr>
        <w:t xml:space="preserve"> DOI: 10.1152/japplphysiol.00950.2009</w:t>
      </w:r>
      <w:r>
        <w:rPr>
          <w:rFonts w:ascii="Calibri" w:cs="Calibri" w:eastAsia="Calibri" w:hAnsi="Calibri"/>
          <w:color w:val="336699"/>
          <w:sz w:val="20"/>
          <w:szCs w:val="20"/>
        </w:rPr>
        <w:t xml:space="preserve"> https://journals.physiology.org/doi/full/10.1152/japplphysiol.00950.2009</w:t>
      </w:r>
    </w:p>
    <w:p>
      <w:pPr>
        <w:spacing w:after="40"/>
        <w:ind w:left="360"/>
      </w:pPr>
      <w:r>
        <w:rPr>
          <w:rFonts w:ascii="Calibri" w:cs="Calibri" w:eastAsia="Calibri" w:hAnsi="Calibri"/>
          <w:sz w:val="22"/>
          <w:szCs w:val="22"/>
        </w:rPr>
        <w:t xml:space="preserve">Study demonstrating that well-trained athletes who trained with high-carbohydrate availability (high daily intake plus carbohydrate during training) achieved greater increases in muscle citrate synthase activity and improved oxidation of exogenous carbohydrates during exercise. Training with high-carbohydrate availability enhanced metabolic adaptations to training.</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Supports the chapter's guidance on adequate daily carbohydrate intake during training and the importance of practicing race-day fueling during training sessions. Demonstrates physiological benefits of proper fueling for training adaptation.</w:t>
      </w:r>
    </w:p>
    <w:p>
      <w:pPr>
        <w:spacing w:before="200" w:after="60"/>
      </w:pPr>
      <w:r>
        <w:rPr>
          <w:rFonts w:ascii="Calibri" w:cs="Calibri" w:eastAsia="Calibri" w:hAnsi="Calibri"/>
          <w:b/>
          <w:bCs/>
          <w:sz w:val="22"/>
          <w:szCs w:val="22"/>
        </w:rPr>
        <w:t xml:space="preserve">5. </w:t>
      </w:r>
      <w:r>
        <w:rPr>
          <w:rFonts w:ascii="Calibri" w:cs="Calibri" w:eastAsia="Calibri" w:hAnsi="Calibri"/>
          <w:b/>
          <w:bCs/>
          <w:sz w:val="22"/>
          <w:szCs w:val="22"/>
        </w:rPr>
        <w:t xml:space="preserve">Costa RJS, Miall A, Khoo A, Rauch C, Snipe R, Camões-Costa V, Gibson P (2017). </w:t>
      </w:r>
      <w:r>
        <w:rPr>
          <w:rFonts w:ascii="Calibri" w:cs="Calibri" w:eastAsia="Calibri" w:hAnsi="Calibri"/>
          <w:i/>
          <w:iCs/>
          <w:sz w:val="22"/>
          <w:szCs w:val="22"/>
        </w:rPr>
        <w:t xml:space="preserve">Gut-training: the impact of two weeks repetitive gut-challenge during exercise on gastrointestinal status, glucose availability, fuel kinetics, and running performance</w:t>
      </w:r>
      <w:r>
        <w:rPr>
          <w:rFonts w:ascii="Calibri" w:cs="Calibri" w:eastAsia="Calibri" w:hAnsi="Calibri"/>
          <w:color w:val="666666"/>
          <w:sz w:val="20"/>
          <w:szCs w:val="20"/>
        </w:rPr>
        <w:t xml:space="preserve"> DOI: 10.1139/apnm-2016-0453</w:t>
      </w:r>
      <w:r>
        <w:rPr>
          <w:rFonts w:ascii="Calibri" w:cs="Calibri" w:eastAsia="Calibri" w:hAnsi="Calibri"/>
          <w:color w:val="336699"/>
          <w:sz w:val="20"/>
          <w:szCs w:val="20"/>
        </w:rPr>
        <w:t xml:space="preserve"> https://pmc.ncbi.nlm.nih.gov/articles/PMC5433711/</w:t>
      </w:r>
    </w:p>
    <w:p>
      <w:pPr>
        <w:spacing w:after="40"/>
        <w:ind w:left="360"/>
      </w:pPr>
      <w:r>
        <w:rPr>
          <w:rFonts w:ascii="Calibri" w:cs="Calibri" w:eastAsia="Calibri" w:hAnsi="Calibri"/>
          <w:sz w:val="22"/>
          <w:szCs w:val="22"/>
        </w:rPr>
        <w:t xml:space="preserve">Landmark study showing that 25 endurance runners who completed a 2-week gut training protocol (consuming 90g carbohydrates per hour during training runs) experienced 60-63% reductions in GI symptoms compared to baseline. Demonstrates that the gut is trainable and systematic practice reduces race-day GI distress while improving carbohydrate tolerance.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Essential evidence for the chapter's emphasis on practicing race-day fueling strategy during training and addressing GI distress prevention. Directly supports the recommendation that runners must train their gut to handle race-day fueling demands.</w:t>
      </w:r>
    </w:p>
    <w:p>
      <w:pPr>
        <w:spacing w:before="200" w:after="60"/>
      </w:pPr>
      <w:r>
        <w:rPr>
          <w:rFonts w:ascii="Calibri" w:cs="Calibri" w:eastAsia="Calibri" w:hAnsi="Calibri"/>
          <w:b/>
          <w:bCs/>
          <w:sz w:val="22"/>
          <w:szCs w:val="22"/>
        </w:rPr>
        <w:t xml:space="preserve">6. </w:t>
      </w:r>
      <w:r>
        <w:rPr>
          <w:rFonts w:ascii="Calibri" w:cs="Calibri" w:eastAsia="Calibri" w:hAnsi="Calibri"/>
          <w:b/>
          <w:bCs/>
          <w:sz w:val="22"/>
          <w:szCs w:val="22"/>
        </w:rPr>
        <w:t xml:space="preserve">Casa DJ, et al. (2021). </w:t>
      </w:r>
      <w:r>
        <w:rPr>
          <w:rFonts w:ascii="Calibri" w:cs="Calibri" w:eastAsia="Calibri" w:hAnsi="Calibri"/>
          <w:i/>
          <w:iCs/>
          <w:sz w:val="22"/>
          <w:szCs w:val="22"/>
        </w:rPr>
        <w:t xml:space="preserve">Rehydration during Endurance Exercise: Challenges, Research, Options, Methods</w:t>
      </w:r>
      <w:r>
        <w:rPr>
          <w:rFonts w:ascii="Calibri" w:cs="Calibri" w:eastAsia="Calibri" w:hAnsi="Calibri"/>
          <w:color w:val="666666"/>
          <w:sz w:val="20"/>
          <w:szCs w:val="20"/>
        </w:rPr>
        <w:t xml:space="preserve"> DOI: 10.3390/nu13030887</w:t>
      </w:r>
      <w:r>
        <w:rPr>
          <w:rFonts w:ascii="Calibri" w:cs="Calibri" w:eastAsia="Calibri" w:hAnsi="Calibri"/>
          <w:color w:val="336699"/>
          <w:sz w:val="20"/>
          <w:szCs w:val="20"/>
        </w:rPr>
        <w:t xml:space="preserve"> https://pmc.ncbi.nlm.nih.gov/articles/PMC8001428/</w:t>
      </w:r>
    </w:p>
    <w:p>
      <w:pPr>
        <w:spacing w:after="40"/>
        <w:ind w:left="360"/>
      </w:pPr>
      <w:r>
        <w:rPr>
          <w:rFonts w:ascii="Calibri" w:cs="Calibri" w:eastAsia="Calibri" w:hAnsi="Calibri"/>
          <w:sz w:val="22"/>
          <w:szCs w:val="22"/>
        </w:rPr>
        <w:t xml:space="preserve">Comprehensive review of hydration challenges during endurance exercise. Discusses dehydration and overhydration risks, sweat rate variability (0.81-1.52 L/h in marathons depending on temperature), individual differences, and methods for calculating personal sweat rate. Presents evidence-based rehydration recommendations and debunks one-size-fits-all hydration myths.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scientific foundation for the chapter's hydration guidance, including sweat rate estimation methods and practical hydration planning. Supports the evidence-based approach to debunking hydration myths mentioned in the chapter description.</w:t>
      </w:r>
    </w:p>
    <w:p>
      <w:pPr>
        <w:spacing w:before="200" w:after="60"/>
      </w:pPr>
      <w:r>
        <w:rPr>
          <w:rFonts w:ascii="Calibri" w:cs="Calibri" w:eastAsia="Calibri" w:hAnsi="Calibri"/>
          <w:b/>
          <w:bCs/>
          <w:sz w:val="22"/>
          <w:szCs w:val="22"/>
        </w:rPr>
        <w:t xml:space="preserve">7. </w:t>
      </w:r>
      <w:r>
        <w:rPr>
          <w:rFonts w:ascii="Calibri" w:cs="Calibri" w:eastAsia="Calibri" w:hAnsi="Calibri"/>
          <w:b/>
          <w:bCs/>
          <w:sz w:val="22"/>
          <w:szCs w:val="22"/>
        </w:rPr>
        <w:t xml:space="preserve">Sawka MN, Burke LM, Eichner ER, Maughan RJ, Montain SJ, Stachenfeld NS (2007). </w:t>
      </w:r>
      <w:r>
        <w:rPr>
          <w:rFonts w:ascii="Calibri" w:cs="Calibri" w:eastAsia="Calibri" w:hAnsi="Calibri"/>
          <w:i/>
          <w:iCs/>
          <w:sz w:val="22"/>
          <w:szCs w:val="22"/>
        </w:rPr>
        <w:t xml:space="preserve">American College of Sports Medicine position stand: Exercise and fluid replacement</w:t>
      </w:r>
      <w:r>
        <w:rPr>
          <w:rFonts w:ascii="Calibri" w:cs="Calibri" w:eastAsia="Calibri" w:hAnsi="Calibri"/>
          <w:color w:val="666666"/>
          <w:sz w:val="20"/>
          <w:szCs w:val="20"/>
        </w:rPr>
        <w:t xml:space="preserve"> DOI: 10.1249/mss.0b013e31802ca597</w:t>
      </w:r>
      <w:r>
        <w:rPr>
          <w:rFonts w:ascii="Calibri" w:cs="Calibri" w:eastAsia="Calibri" w:hAnsi="Calibri"/>
          <w:color w:val="336699"/>
          <w:sz w:val="20"/>
          <w:szCs w:val="20"/>
        </w:rPr>
        <w:t xml:space="preserve"> https://pubmed.ncbi.nlm.nih.gov/17277604/</w:t>
      </w:r>
    </w:p>
    <w:p>
      <w:pPr>
        <w:spacing w:after="40"/>
        <w:ind w:left="360"/>
      </w:pPr>
      <w:r>
        <w:rPr>
          <w:rFonts w:ascii="Calibri" w:cs="Calibri" w:eastAsia="Calibri" w:hAnsi="Calibri"/>
          <w:sz w:val="22"/>
          <w:szCs w:val="22"/>
        </w:rPr>
        <w:t xml:space="preserve">Official ACSM position statement on fluid replacement during exercise. Recommends customized fluid replacement programs based on individual sweat rates, preventing &gt;2% body weight loss from dehydration, and starting exercise euhydrated. Emphasizes measuring body weight before and after exercise to estimate individual sweat rates and that there is considerable variability between individuals in sweating rates and electrolyte content.</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Authoritative guidance for the chapter's hydration recommendations and sweat rate calculation methods. Provides credible source for debunking hydration myths and establishing evidence-based practices for marathon runners.</w:t>
      </w:r>
    </w:p>
    <w:p>
      <w:pPr>
        <w:spacing w:before="200" w:after="60"/>
      </w:pPr>
      <w:r>
        <w:rPr>
          <w:rFonts w:ascii="Calibri" w:cs="Calibri" w:eastAsia="Calibri" w:hAnsi="Calibri"/>
          <w:b/>
          <w:bCs/>
          <w:sz w:val="22"/>
          <w:szCs w:val="22"/>
        </w:rPr>
        <w:t xml:space="preserve">8. </w:t>
      </w:r>
      <w:r>
        <w:rPr>
          <w:rFonts w:ascii="Calibri" w:cs="Calibri" w:eastAsia="Calibri" w:hAnsi="Calibri"/>
          <w:b/>
          <w:bCs/>
          <w:sz w:val="22"/>
          <w:szCs w:val="22"/>
        </w:rPr>
        <w:t xml:space="preserve">Smyth B, et al. (2021). </w:t>
      </w:r>
      <w:r>
        <w:rPr>
          <w:rFonts w:ascii="Calibri" w:cs="Calibri" w:eastAsia="Calibri" w:hAnsi="Calibri"/>
          <w:i/>
          <w:iCs/>
          <w:sz w:val="22"/>
          <w:szCs w:val="22"/>
        </w:rPr>
        <w:t xml:space="preserve">How recreational marathon runners hit the wall: A large-scale data analysis of late-race pacing collapse in the marathon</w:t>
      </w:r>
      <w:r>
        <w:rPr>
          <w:rFonts w:ascii="Calibri" w:cs="Calibri" w:eastAsia="Calibri" w:hAnsi="Calibri"/>
          <w:color w:val="336699"/>
          <w:sz w:val="20"/>
          <w:szCs w:val="20"/>
        </w:rPr>
        <w:t xml:space="preserve"> https://pmc.ncbi.nlm.nih.gov/articles/PMC8133477/</w:t>
      </w:r>
    </w:p>
    <w:p>
      <w:pPr>
        <w:spacing w:after="40"/>
        <w:ind w:left="360"/>
      </w:pPr>
      <w:r>
        <w:rPr>
          <w:rFonts w:ascii="Calibri" w:cs="Calibri" w:eastAsia="Calibri" w:hAnsi="Calibri"/>
          <w:sz w:val="22"/>
          <w:szCs w:val="22"/>
        </w:rPr>
        <w:t xml:space="preserve">Large-scale analysis of over 4 million race records examining 'hitting the wall' in marathons. Defines hitting the wall using pacing data showing sustained slowing after mile 20, typically due to glycogen depletion. Discusses Rapoport's energy model for predicting when runners will deplete glycogen based on pace, body composition, and glycogen stores. Emphasizes that in-race fueling is necessary to overcome natural limits of human energy stores.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real-world data on the prevalence and patterns of 'hitting the wall' in recreational marathoners. Supports the chapter's explanation of why the marathon distance uniquely challenges glycogen stores and the importance of race-day fueling strategy.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2026-02-20T09:48:09.110Z</dcterms:created>
  <dcterms:modified xsi:type="dcterms:W3CDTF">2026-02-20T09:48:09.110Z</dcterms:modified>
</cp:coreProperties>
</file>

<file path=docProps/custom.xml><?xml version="1.0" encoding="utf-8"?>
<Properties xmlns="http://schemas.openxmlformats.org/officeDocument/2006/custom-properties" xmlns:vt="http://schemas.openxmlformats.org/officeDocument/2006/docPropsVTypes"/>
</file>