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Your Internal Clock — The 24-Hour Rhythm You Never Chose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scientific foundation for understanding the circadian system's architecture and regulation. Hastings et al. (2018) establishes the neurobiological substrate—the SCN and its ~20,000 neurons above the optic chiasm. Borbély's work (1982, 2016, 2022) provides the conceptual scaffold of the two-process model, showing how homeostatic sleep pressure (Process S) interacts with circadian alerting (Process C) to regulate sleep-wake cycles. Roenneberg's research (2003, 2006) introduces chronotype as genetically influenced individual differences in circadian timing and social jetlag as the health-relevant mismatch between biological and social time. The Dunster et al. (2018) Seattle study provides a real-world demonstration that circadian misalignment has measurable consequences on academic performance and attendance when corrected. Finally, Quante et al. (2019) documents the multiple zeitgebers (light, meals, activity) that entrain the circadian system. Together, these sources move from molecular mechanisms to neural circuits to behavioral phenotypes to public health applications, providing students with conceptual depth while maintaining evidence-based rigor. The pedagogical arc moves from 'what' (SCN anatomy), to 'how' (two-process model), to 'why it matters' (chronotype, social jetlag, real-world outcomes), establishing both the biological reality and practical significance of circadian rhythms for students' own lives.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Hastings, M.H., Maywood, E.S., Brancaccio, M. (2018). </w:t>
      </w:r>
      <w:r>
        <w:rPr>
          <w:rFonts w:ascii="Calibri" w:cs="Calibri" w:eastAsia="Calibri" w:hAnsi="Calibri"/>
          <w:i/>
          <w:iCs/>
          <w:sz w:val="22"/>
          <w:szCs w:val="22"/>
        </w:rPr>
        <w:t xml:space="preserve">Generation of circadian rhythms in the suprachiasmatic nucleus</w:t>
      </w:r>
      <w:r>
        <w:rPr>
          <w:rFonts w:ascii="Calibri" w:cs="Calibri" w:eastAsia="Calibri" w:hAnsi="Calibri"/>
          <w:color w:val="666666"/>
          <w:sz w:val="20"/>
          <w:szCs w:val="20"/>
        </w:rPr>
        <w:t xml:space="preserve"> DOI: 10.1038/s41583-018-0026-z</w:t>
      </w:r>
      <w:r>
        <w:rPr>
          <w:rFonts w:ascii="Calibri" w:cs="Calibri" w:eastAsia="Calibri" w:hAnsi="Calibri"/>
          <w:color w:val="336699"/>
          <w:sz w:val="20"/>
          <w:szCs w:val="20"/>
        </w:rPr>
        <w:t xml:space="preserve"> https://www.nature.com/articles/s41583-018-0026-z</w:t>
      </w:r>
    </w:p>
    <w:p>
      <w:pPr>
        <w:spacing w:after="40"/>
        <w:ind w:left="360"/>
      </w:pPr>
      <w:r>
        <w:rPr>
          <w:rFonts w:ascii="Calibri" w:cs="Calibri" w:eastAsia="Calibri" w:hAnsi="Calibri"/>
          <w:sz w:val="22"/>
          <w:szCs w:val="22"/>
        </w:rPr>
        <w:t xml:space="preserve">Comprehensive review of SCN as the principal circadian pacemaker in mammals, containing ~10,000-20,000 neurons per side. Describes cell-autonomous transcriptional feedback loops, circuit-level mechanisms, and how the SCN directs daily cycles of behavior and physiology. Covers technical advances including intersectional genetics and multidimensional imaging revealing emergent properties of the SCN network.</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foundational source for understanding SCN anatomy, location above the optic chiasm, neuron count (~20,000), and its role as master circadian clock. Provides the biological substrate for all circadian concepts in the chapter.</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Borbély, A.A. (2022). </w:t>
      </w:r>
      <w:r>
        <w:rPr>
          <w:rFonts w:ascii="Calibri" w:cs="Calibri" w:eastAsia="Calibri" w:hAnsi="Calibri"/>
          <w:i/>
          <w:iCs/>
          <w:sz w:val="22"/>
          <w:szCs w:val="22"/>
        </w:rPr>
        <w:t xml:space="preserve">The two-process model of sleep regulation: Beginnings and outlook</w:t>
      </w:r>
      <w:r>
        <w:rPr>
          <w:rFonts w:ascii="Calibri" w:cs="Calibri" w:eastAsia="Calibri" w:hAnsi="Calibri"/>
          <w:color w:val="666666"/>
          <w:sz w:val="20"/>
          <w:szCs w:val="20"/>
        </w:rPr>
        <w:t xml:space="preserve"> DOI: 10.1111/jsr.13598</w:t>
      </w:r>
      <w:r>
        <w:rPr>
          <w:rFonts w:ascii="Calibri" w:cs="Calibri" w:eastAsia="Calibri" w:hAnsi="Calibri"/>
          <w:color w:val="336699"/>
          <w:sz w:val="20"/>
          <w:szCs w:val="20"/>
        </w:rPr>
        <w:t xml:space="preserve"> https://onlinelibrary.wiley.com/doi/full/10.1111/jsr.13598</w:t>
      </w:r>
    </w:p>
    <w:p>
      <w:pPr>
        <w:spacing w:after="40"/>
        <w:ind w:left="360"/>
      </w:pPr>
      <w:r>
        <w:rPr>
          <w:rFonts w:ascii="Calibri" w:cs="Calibri" w:eastAsia="Calibri" w:hAnsi="Calibri"/>
          <w:sz w:val="22"/>
          <w:szCs w:val="22"/>
        </w:rPr>
        <w:t xml:space="preserve">Borbély's personal retrospective on the origins and development of the two-process model. Describes Process S (homeostatic sleep-wake-dependent process that builds during waking and declines exponentially during sleep) and Process C (circadian process controlled by the pacemaker). Based on sleep deprivation experiments in rats and humans showing exponential decline of slow-wave activity. Model has served as major conceptual framework for 40+ years.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 primary source from the model's creator. Essential for explaining the two-process model framework that forms the conceptual scaffold of the entire chapter and course. Establishes Process S and Process C terminology and interactions.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Borbély, A.A. (1982). </w:t>
      </w:r>
      <w:r>
        <w:rPr>
          <w:rFonts w:ascii="Calibri" w:cs="Calibri" w:eastAsia="Calibri" w:hAnsi="Calibri"/>
          <w:i/>
          <w:iCs/>
          <w:sz w:val="22"/>
          <w:szCs w:val="22"/>
        </w:rPr>
        <w:t xml:space="preserve">A two process model of sleep regulation</w:t>
      </w:r>
      <w:r>
        <w:rPr>
          <w:rFonts w:ascii="Calibri" w:cs="Calibri" w:eastAsia="Calibri" w:hAnsi="Calibri"/>
          <w:color w:val="336699"/>
          <w:sz w:val="20"/>
          <w:szCs w:val="20"/>
        </w:rPr>
        <w:t xml:space="preserve"> https://pubmed.ncbi.nlm.nih.gov/7185792/</w:t>
      </w:r>
    </w:p>
    <w:p>
      <w:pPr>
        <w:spacing w:after="40"/>
        <w:ind w:left="360"/>
      </w:pPr>
      <w:r>
        <w:rPr>
          <w:rFonts w:ascii="Calibri" w:cs="Calibri" w:eastAsia="Calibri" w:hAnsi="Calibri"/>
          <w:sz w:val="22"/>
          <w:szCs w:val="22"/>
        </w:rPr>
        <w:t xml:space="preserve">Original seminal publication introducing the two-process model of sleep regulation. Describes interaction between homeostatic Process S (sleep-dependent) and circadian Process C. The time course of S is based on slow-wave activity exhibiting exponential decline during sleep. Process C represented by sine function derived from vigilance rhythm data during prolonged sleep deprivation.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foundational citation for the two-process model. Critical primary source establishing the theoretical framework that underpins understanding of sleep-wake regulation throughout the course.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Borbély, A.A., Daan, S., Wirz-Justice, A., Deboer, T. (2016). </w:t>
      </w:r>
      <w:r>
        <w:rPr>
          <w:rFonts w:ascii="Calibri" w:cs="Calibri" w:eastAsia="Calibri" w:hAnsi="Calibri"/>
          <w:i/>
          <w:iCs/>
          <w:sz w:val="22"/>
          <w:szCs w:val="22"/>
        </w:rPr>
        <w:t xml:space="preserve">The two-process model of sleep regulation: a reappraisal</w:t>
      </w:r>
      <w:r>
        <w:rPr>
          <w:rFonts w:ascii="Calibri" w:cs="Calibri" w:eastAsia="Calibri" w:hAnsi="Calibri"/>
          <w:color w:val="666666"/>
          <w:sz w:val="20"/>
          <w:szCs w:val="20"/>
        </w:rPr>
        <w:t xml:space="preserve"> DOI: 10.1111/jsr.12371</w:t>
      </w:r>
      <w:r>
        <w:rPr>
          <w:rFonts w:ascii="Calibri" w:cs="Calibri" w:eastAsia="Calibri" w:hAnsi="Calibri"/>
          <w:color w:val="336699"/>
          <w:sz w:val="20"/>
          <w:szCs w:val="20"/>
        </w:rPr>
        <w:t xml:space="preserve"> https://pubmed.ncbi.nlm.nih.gov/26762182/</w:t>
      </w:r>
    </w:p>
    <w:p>
      <w:pPr>
        <w:spacing w:after="40"/>
        <w:ind w:left="360"/>
      </w:pPr>
      <w:r>
        <w:rPr>
          <w:rFonts w:ascii="Calibri" w:cs="Calibri" w:eastAsia="Calibri" w:hAnsi="Calibri"/>
          <w:sz w:val="22"/>
          <w:szCs w:val="22"/>
        </w:rPr>
        <w:t xml:space="preserve">Comprehensive reappraisal showing the two-process model has served as major conceptual framework in sleep research for three decades. Applied widely in fatigue, performance, and individual differences. Model posits homeostatic Process S interacts with circadian Process C, with time-courses derived from physiological and behavioral variables. Forced desynchrony studies by Dijk &amp; Czeisler confirmed essential tenets.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Updated review of the two-process model demonstrating its continued relevance and empirical validation. Important for showing students the model's robustness and widespread application in sleep science.</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Roenneberg, T., Wirz-Justice, A., Merrow, M. (2003). </w:t>
      </w:r>
      <w:r>
        <w:rPr>
          <w:rFonts w:ascii="Calibri" w:cs="Calibri" w:eastAsia="Calibri" w:hAnsi="Calibri"/>
          <w:i/>
          <w:iCs/>
          <w:sz w:val="22"/>
          <w:szCs w:val="22"/>
        </w:rPr>
        <w:t xml:space="preserve">Life between clocks: daily temporal patterns of human chronotypes</w:t>
      </w:r>
      <w:r>
        <w:rPr>
          <w:rFonts w:ascii="Calibri" w:cs="Calibri" w:eastAsia="Calibri" w:hAnsi="Calibri"/>
          <w:color w:val="666666"/>
          <w:sz w:val="20"/>
          <w:szCs w:val="20"/>
        </w:rPr>
        <w:t xml:space="preserve"> DOI: 10.1177/0748730402239679</w:t>
      </w:r>
      <w:r>
        <w:rPr>
          <w:rFonts w:ascii="Calibri" w:cs="Calibri" w:eastAsia="Calibri" w:hAnsi="Calibri"/>
          <w:color w:val="336699"/>
          <w:sz w:val="20"/>
          <w:szCs w:val="20"/>
        </w:rPr>
        <w:t xml:space="preserve"> https://pubmed.ncbi.nlm.nih.gov/12533991/</w:t>
      </w:r>
    </w:p>
    <w:p>
      <w:pPr>
        <w:spacing w:after="40"/>
        <w:ind w:left="360"/>
      </w:pPr>
      <w:r>
        <w:rPr>
          <w:rFonts w:ascii="Calibri" w:cs="Calibri" w:eastAsia="Calibri" w:hAnsi="Calibri"/>
          <w:sz w:val="22"/>
          <w:szCs w:val="22"/>
        </w:rPr>
        <w:t xml:space="preserve">Introduces the Munich ChronoType Questionnaire (MCTQ) for assessing chronotype based on mid-sleep time on free days. Describes chronotype as individual's temporal behavior/preference ranging from extreme early to late types. Documents population distribution showing chronotype follows near-Gaussian distribution with most people intermediate.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work on chronotype assessment by Roenneberg and colleagues, explicitly named in the chapter description. Establishes the scientific basis for understanding morningness-eveningness as genetically influenced individual differences in circadian timing.</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Wittmann, M., Dinich, J., Merrow, M., Roenneberg, T. (2006). </w:t>
      </w:r>
      <w:r>
        <w:rPr>
          <w:rFonts w:ascii="Calibri" w:cs="Calibri" w:eastAsia="Calibri" w:hAnsi="Calibri"/>
          <w:i/>
          <w:iCs/>
          <w:sz w:val="22"/>
          <w:szCs w:val="22"/>
        </w:rPr>
        <w:t xml:space="preserve">Social jetlag: misalignment of biological and social time</w:t>
      </w:r>
      <w:r>
        <w:rPr>
          <w:rFonts w:ascii="Calibri" w:cs="Calibri" w:eastAsia="Calibri" w:hAnsi="Calibri"/>
          <w:color w:val="666666"/>
          <w:sz w:val="20"/>
          <w:szCs w:val="20"/>
        </w:rPr>
        <w:t xml:space="preserve"> DOI: 10.1080/07420520500545979</w:t>
      </w:r>
      <w:r>
        <w:rPr>
          <w:rFonts w:ascii="Calibri" w:cs="Calibri" w:eastAsia="Calibri" w:hAnsi="Calibri"/>
          <w:color w:val="336699"/>
          <w:sz w:val="20"/>
          <w:szCs w:val="20"/>
        </w:rPr>
        <w:t xml:space="preserve"> https://pubmed.ncbi.nlm.nih.gov/16687322/</w:t>
      </w:r>
    </w:p>
    <w:p>
      <w:pPr>
        <w:spacing w:after="40"/>
        <w:ind w:left="360"/>
      </w:pPr>
      <w:r>
        <w:rPr>
          <w:rFonts w:ascii="Calibri" w:cs="Calibri" w:eastAsia="Calibri" w:hAnsi="Calibri"/>
          <w:sz w:val="22"/>
          <w:szCs w:val="22"/>
        </w:rPr>
        <w:t xml:space="preserve">Seminal paper coining the term 'social jetlag' to describe discrepancy between biological and social timing. Chronotype largely regulated by circadian clock with genetic and environmental contributions. Late chronotypes show largest differences in sleep timing between work and free days, leading to considerable sleep debt. Correlations between chronotype, psychological wellbeing, and stimulant consumption strongest in teenagers/young adults. Most striking correlation between late chronotype and smoking.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Original source introducing 'social jetlag' concept by Roenneberg, directly relevant to chapter's discussion of chronotype-schedule mismatches. Essential for explaining why forcing mismatched schedules creates circadian misalignment and its consequences.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Dunster, G.P., de la Iglesia, L., Ben-Hamo, M., Nave, C., Fleischer, J.G., Panda, S., de la Iglesia, H.O. (2018). </w:t>
      </w:r>
      <w:r>
        <w:rPr>
          <w:rFonts w:ascii="Calibri" w:cs="Calibri" w:eastAsia="Calibri" w:hAnsi="Calibri"/>
          <w:i/>
          <w:iCs/>
          <w:sz w:val="22"/>
          <w:szCs w:val="22"/>
        </w:rPr>
        <w:t xml:space="preserve">Sleepmore in Seattle: Later school start times are associated with more sleep and better performance in high school students</w:t>
      </w:r>
      <w:r>
        <w:rPr>
          <w:rFonts w:ascii="Calibri" w:cs="Calibri" w:eastAsia="Calibri" w:hAnsi="Calibri"/>
          <w:color w:val="666666"/>
          <w:sz w:val="20"/>
          <w:szCs w:val="20"/>
        </w:rPr>
        <w:t xml:space="preserve"> DOI: 10.1126/sciadv.aau6200</w:t>
      </w:r>
      <w:r>
        <w:rPr>
          <w:rFonts w:ascii="Calibri" w:cs="Calibri" w:eastAsia="Calibri" w:hAnsi="Calibri"/>
          <w:color w:val="336699"/>
          <w:sz w:val="20"/>
          <w:szCs w:val="20"/>
        </w:rPr>
        <w:t xml:space="preserve"> https://www.science.org/doi/10.1126/sciadv.aau6200</w:t>
      </w:r>
    </w:p>
    <w:p>
      <w:pPr>
        <w:spacing w:after="40"/>
        <w:ind w:left="360"/>
      </w:pPr>
      <w:r>
        <w:rPr>
          <w:rFonts w:ascii="Calibri" w:cs="Calibri" w:eastAsia="Calibri" w:hAnsi="Calibri"/>
          <w:sz w:val="22"/>
          <w:szCs w:val="22"/>
        </w:rPr>
        <w:t xml:space="preserve">Pre-/post-study measuring objective sleep-wake cycles using wrist actigraphy when Seattle delayed high school start times from 7:50 to 8:45 a.m. Students gained median 34 minutes of daily sleep, associated with 4.5% increase in median grades and improved attendance. Bedtimes did not shift later; students simply slept in longer. Adolescent circadian system naturally delays sleep onset due to apparent lengthening of circadian period during teenage years.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'vivid, data-rich case study' explicitly mentioned in chapter description. Provides concrete, quantitative evidence that aligning schedules with biology changes real outcomes, demonstrating practical importance of circadian alignment.</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Quante, M., Mariani, S., Weng, J., Marinac, C.R., Kaplan, E.R., et al. (2019). </w:t>
      </w:r>
      <w:r>
        <w:rPr>
          <w:rFonts w:ascii="Calibri" w:cs="Calibri" w:eastAsia="Calibri" w:hAnsi="Calibri"/>
          <w:i/>
          <w:iCs/>
          <w:sz w:val="22"/>
          <w:szCs w:val="22"/>
        </w:rPr>
        <w:t xml:space="preserve">Zeitgebers and their association with rest-activity patterns</w:t>
      </w:r>
      <w:r>
        <w:rPr>
          <w:rFonts w:ascii="Calibri" w:cs="Calibri" w:eastAsia="Calibri" w:hAnsi="Calibri"/>
          <w:color w:val="666666"/>
          <w:sz w:val="20"/>
          <w:szCs w:val="20"/>
        </w:rPr>
        <w:t xml:space="preserve"> DOI: 10.1016/j.physbeh.2019.04.013</w:t>
      </w:r>
      <w:r>
        <w:rPr>
          <w:rFonts w:ascii="Calibri" w:cs="Calibri" w:eastAsia="Calibri" w:hAnsi="Calibri"/>
          <w:color w:val="336699"/>
          <w:sz w:val="20"/>
          <w:szCs w:val="20"/>
        </w:rPr>
        <w:t xml:space="preserve"> https://pmc.ncbi.nlm.nih.gov/articles/PMC6492024/</w:t>
      </w:r>
    </w:p>
    <w:p>
      <w:pPr>
        <w:spacing w:after="40"/>
        <w:ind w:left="360"/>
      </w:pPr>
      <w:r>
        <w:rPr>
          <w:rFonts w:ascii="Calibri" w:cs="Calibri" w:eastAsia="Calibri" w:hAnsi="Calibri"/>
          <w:sz w:val="22"/>
          <w:szCs w:val="22"/>
        </w:rPr>
        <w:t xml:space="preserve">Zeitgebers are environmental and social cues that provide input to circadian system and help synchronize biological rhythms. Light is chief environmental cue but nonphotic stimuli including food intake and physical activity also influence circadian rhythms. Study assessed timing of meals, physical activity, and light exposure associations with activity and sleep timing using actigraphy and smartphone app.</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for multiple zeitgebers beyond light, directly supporting chapter's coverage of 'light, meal timing, social schedules, and physical activity' as zeitgebers. Shows how these cues practically entrain human circadian rhythms.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2026-02-20T02:06:46.891Z</dcterms:created>
  <dcterms:modified xsi:type="dcterms:W3CDTF">2026-02-20T02:06:46.891Z</dcterms:modified>
</cp:coreProperties>
</file>

<file path=docProps/custom.xml><?xml version="1.0" encoding="utf-8"?>
<Properties xmlns="http://schemas.openxmlformats.org/officeDocument/2006/custom-properties" xmlns:vt="http://schemas.openxmlformats.org/officeDocument/2006/docPropsVTypes"/>
</file>