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Light as a Drug — The Most Powerful Button on Your Clock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complete scientific foundation for the chapter's narrative arc. The discovery of ipRGCs and melanopsin (Schmidt et al., Berson lineage) establishes WHY light is the 'most powerful button' on the clock—a dedicated neural pathway to the SCN independent of vision. Khalsa/Czeisler's phase-response curve work explains HOW timing determines whether light advances or delays the clock, providing the mechanistic basis for morning/evening protocols. Zeiter/Czeisler's illuminance work quantifies the dose-response, establishing that outdoor light (10,000+ lux) vastly exceeds indoor lighting (100-300 lux) in effectiveness. Wright's camping study demonstrates real-world magnitude of natural light entrainment. St. Hilaire's spectral sensitivity work supports the chapter's accurate treatment of the 480nm peak while noting melanopsin is 'broadly responsive.' The Dunster Seattle school study provides the pedagogical capstone: a real intervention showing light-timing effects in adolescents, with the reframing (morning light at appropriate phase) that allows students to connect abstract PRC concepts to policy outcomes. Finally, Dunster's seasonal study quantifies the light-chronotype interaction, showing that genetic owls can shift earlier with strong morning light while larks drift later with evening exposure. Together, these sources support the chapter's claim that 'stepping outside in the morning may be the single most effective sleep intervention available' while maintaining scientific precision about spectral sensitivity, dose-response, and the distinction between bright outdoor light and dim screens. The collection enables evidence-based design of personal light-exposure schedules and prepares students for Chapter 6's nuanced screen discussion by establishing quantitative thresholds.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Tiffany M. Schmidt, Samer Hattar, David M. Berson (2019). </w:t>
      </w:r>
      <w:r>
        <w:rPr>
          <w:rFonts w:ascii="Calibri" w:cs="Calibri" w:eastAsia="Calibri" w:hAnsi="Calibri"/>
          <w:i/>
          <w:iCs/>
          <w:sz w:val="22"/>
          <w:szCs w:val="22"/>
        </w:rPr>
        <w:t xml:space="preserve">Melanopsin and the Intrinsically Photosensitive Retinal Ganglion Cells: Biophysics to Behavior</w:t>
      </w:r>
      <w:r>
        <w:rPr>
          <w:rFonts w:ascii="Calibri" w:cs="Calibri" w:eastAsia="Calibri" w:hAnsi="Calibri"/>
          <w:color w:val="336699"/>
          <w:sz w:val="20"/>
          <w:szCs w:val="20"/>
        </w:rPr>
        <w:t xml:space="preserve"> https://pubmed.ncbi.nlm.nih.gov/31647894/</w:t>
      </w:r>
    </w:p>
    <w:p>
      <w:pPr>
        <w:spacing w:after="40"/>
        <w:ind w:left="360"/>
      </w:pPr>
      <w:r>
        <w:rPr>
          <w:rFonts w:ascii="Calibri" w:cs="Calibri" w:eastAsia="Calibri" w:hAnsi="Calibri"/>
          <w:sz w:val="22"/>
          <w:szCs w:val="22"/>
        </w:rPr>
        <w:t xml:space="preserve">Comprehensive review of ipRGCs showing they capture light via melanopsin, depolarize like invertebrate photoreceptors, and innervate dozens of brain areas including the SCN. ipRGCs respond sluggishly compared to rods/cones and signal ambient light levels over long durations. Melanopsin peaks at ~480nm and is broadly responsive across wavelengths.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source establishing the biological basis of non-image-forming photoreception. Explains why the pathway 'cares about how much light hits the retina' independent of what you see, and provides the mechanistic basis for light's control of circadian rhythms.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Sat Bir S. Khalsa, Megan E. Jewett, Christian Cajochen, Charles A. Czeisler (2003). </w:t>
      </w:r>
      <w:r>
        <w:rPr>
          <w:rFonts w:ascii="Calibri" w:cs="Calibri" w:eastAsia="Calibri" w:hAnsi="Calibri"/>
          <w:i/>
          <w:iCs/>
          <w:sz w:val="22"/>
          <w:szCs w:val="22"/>
        </w:rPr>
        <w:t xml:space="preserve">A Phase Response Curve to Single Bright Light Pulses in Human Subjects</w:t>
      </w:r>
      <w:r>
        <w:rPr>
          <w:rFonts w:ascii="Calibri" w:cs="Calibri" w:eastAsia="Calibri" w:hAnsi="Calibri"/>
          <w:color w:val="666666"/>
          <w:sz w:val="20"/>
          <w:szCs w:val="20"/>
        </w:rPr>
        <w:t xml:space="preserve"> DOI: 10.1113/jphysiol.2003.040477</w:t>
      </w:r>
      <w:r>
        <w:rPr>
          <w:rFonts w:ascii="Calibri" w:cs="Calibri" w:eastAsia="Calibri" w:hAnsi="Calibri"/>
          <w:color w:val="336699"/>
          <w:sz w:val="20"/>
          <w:szCs w:val="20"/>
        </w:rPr>
        <w:t xml:space="preserve"> https://pubmed.ncbi.nlm.nih.gov/12717008/</w:t>
      </w:r>
    </w:p>
    <w:p>
      <w:pPr>
        <w:spacing w:after="40"/>
        <w:ind w:left="360"/>
      </w:pPr>
      <w:r>
        <w:rPr>
          <w:rFonts w:ascii="Calibri" w:cs="Calibri" w:eastAsia="Calibri" w:hAnsi="Calibri"/>
          <w:sz w:val="22"/>
          <w:szCs w:val="22"/>
        </w:rPr>
        <w:t xml:space="preserve">Definitive human phase-response curve study with 21 subjects using 6.7-hour bright light exposure (~10,000 lux). Demonstrated Type 1 PRC with peak-to-trough amplitude of 5.02 hours. Phase delays occurred when light was centered before core body temperature minimum; phase advances occurred after. No prolonged 'dead zone' during subjective day.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The foundational work referenced in the chapter description (Dijk and Czeisler lineage). Provides quantitative data on how light timing determines direction and magnitude of phase shifts—the basis for practical morning/evening light protocols.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Jamie M. Zeitzer, Derk-Jan Dijk, Richard E. Kronauer, Emery N. Brown, Charles A. Czeisler (2000). </w:t>
      </w:r>
      <w:r>
        <w:rPr>
          <w:rFonts w:ascii="Calibri" w:cs="Calibri" w:eastAsia="Calibri" w:hAnsi="Calibri"/>
          <w:i/>
          <w:iCs/>
          <w:sz w:val="22"/>
          <w:szCs w:val="22"/>
        </w:rPr>
        <w:t xml:space="preserve">Sensitivity of the Human Circadian Pacemaker to Nocturnal Light: Melatonin Phase Resetting and Suppression</w:t>
      </w:r>
      <w:r>
        <w:rPr>
          <w:rFonts w:ascii="Calibri" w:cs="Calibri" w:eastAsia="Calibri" w:hAnsi="Calibri"/>
          <w:color w:val="666666"/>
          <w:sz w:val="20"/>
          <w:szCs w:val="20"/>
        </w:rPr>
        <w:t xml:space="preserve"> DOI: 10.1111/j.1469-7793.2000.00695.x</w:t>
      </w:r>
      <w:r>
        <w:rPr>
          <w:rFonts w:ascii="Calibri" w:cs="Calibri" w:eastAsia="Calibri" w:hAnsi="Calibri"/>
          <w:color w:val="336699"/>
          <w:sz w:val="20"/>
          <w:szCs w:val="20"/>
        </w:rPr>
        <w:t xml:space="preserve"> https://pubmed.ncbi.nlm.nih.gov/10922269/</w:t>
      </w:r>
    </w:p>
    <w:p>
      <w:pPr>
        <w:spacing w:after="40"/>
        <w:ind w:left="360"/>
      </w:pPr>
      <w:r>
        <w:rPr>
          <w:rFonts w:ascii="Calibri" w:cs="Calibri" w:eastAsia="Calibri" w:hAnsi="Calibri"/>
          <w:sz w:val="22"/>
          <w:szCs w:val="22"/>
        </w:rPr>
        <w:t xml:space="preserve">Demonstrated non-linear illuminance-response relationship with inflection point at ~120 lux. Showed that ordinary room light can significantly advance circadian phase and suppress melatonin. Phase-shift response saturates at ~550 lux; melatonin suppression saturates at ~200 lux. Early morning room light can significantly advance the pacemaker.</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Establishes lux thresholds critical to chapter's quantitative approach. Shows that indoor lighting (100-300 lux) has measurable effects while outdoor light (10,000-100,000 lux) is far more powerful—the distinction central to practical recommendations.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Kenneth P. Wright Jr., Andrew W. McHill, Brian R. Birks, Brandon R. Griffin, Thomas Rusterholz, Evan D. Chinoy (2013). </w:t>
      </w:r>
      <w:r>
        <w:rPr>
          <w:rFonts w:ascii="Calibri" w:cs="Calibri" w:eastAsia="Calibri" w:hAnsi="Calibri"/>
          <w:i/>
          <w:iCs/>
          <w:sz w:val="22"/>
          <w:szCs w:val="22"/>
        </w:rPr>
        <w:t xml:space="preserve">Entrainment of the Human Circadian Clock to the Natural Light-Dark Cycle</w:t>
      </w:r>
      <w:r>
        <w:rPr>
          <w:rFonts w:ascii="Calibri" w:cs="Calibri" w:eastAsia="Calibri" w:hAnsi="Calibri"/>
          <w:color w:val="666666"/>
          <w:sz w:val="20"/>
          <w:szCs w:val="20"/>
        </w:rPr>
        <w:t xml:space="preserve"> DOI: 10.1016/j.cub.2013.06.039</w:t>
      </w:r>
      <w:r>
        <w:rPr>
          <w:rFonts w:ascii="Calibri" w:cs="Calibri" w:eastAsia="Calibri" w:hAnsi="Calibri"/>
          <w:color w:val="336699"/>
          <w:sz w:val="20"/>
          <w:szCs w:val="20"/>
        </w:rPr>
        <w:t xml:space="preserve"> https://pmc.ncbi.nlm.nih.gov/articles/PMC4020279/</w:t>
      </w:r>
    </w:p>
    <w:p>
      <w:pPr>
        <w:spacing w:after="40"/>
        <w:ind w:left="360"/>
      </w:pPr>
      <w:r>
        <w:rPr>
          <w:rFonts w:ascii="Calibri" w:cs="Calibri" w:eastAsia="Calibri" w:hAnsi="Calibri"/>
          <w:sz w:val="22"/>
          <w:szCs w:val="22"/>
        </w:rPr>
        <w:t xml:space="preserve">Eight participants camping in natural light showed 2-hour phase advance in DLMO compared to electrical lighting environment. Natural light exposure averaged 13 times higher during day (~10,000 lux outdoors vs typical ~200 lux indoors). Demonstrated that exposure to only sunlight reduces individual differences in circadian timing and aligns sleep-wake cycles.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real-world evidence for chapter's claim about outdoor light superiority and quantifies typical indoor vs outdoor lux levels. Demonstrates that natural morning light is 'the single most effective sleep intervention available' by showing dramatic phase advances from camping.</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Melissa A. St. Hilaire, María L. Ámundadóttir, Steven W. Lockley, et al. (2022). </w:t>
      </w:r>
      <w:r>
        <w:rPr>
          <w:rFonts w:ascii="Calibri" w:cs="Calibri" w:eastAsia="Calibri" w:hAnsi="Calibri"/>
          <w:i/>
          <w:iCs/>
          <w:sz w:val="22"/>
          <w:szCs w:val="22"/>
        </w:rPr>
        <w:t xml:space="preserve">The Spectral Sensitivity of Human Circadian Phase Resetting and Melatonin Suppression to Light Changes Dynamically with Light Duration</w:t>
      </w:r>
      <w:r>
        <w:rPr>
          <w:rFonts w:ascii="Calibri" w:cs="Calibri" w:eastAsia="Calibri" w:hAnsi="Calibri"/>
          <w:color w:val="666666"/>
          <w:sz w:val="20"/>
          <w:szCs w:val="20"/>
        </w:rPr>
        <w:t xml:space="preserve"> DOI: 10.1073/pnas.2205301119</w:t>
      </w:r>
      <w:r>
        <w:rPr>
          <w:rFonts w:ascii="Calibri" w:cs="Calibri" w:eastAsia="Calibri" w:hAnsi="Calibri"/>
          <w:color w:val="336699"/>
          <w:sz w:val="20"/>
          <w:szCs w:val="20"/>
        </w:rPr>
        <w:t xml:space="preserve"> https://www.pnas.org/doi/10.1073/pnas.2205301119</w:t>
      </w:r>
    </w:p>
    <w:p>
      <w:pPr>
        <w:spacing w:after="40"/>
        <w:ind w:left="360"/>
      </w:pPr>
      <w:r>
        <w:rPr>
          <w:rFonts w:ascii="Calibri" w:cs="Calibri" w:eastAsia="Calibri" w:hAnsi="Calibri"/>
          <w:sz w:val="22"/>
          <w:szCs w:val="22"/>
        </w:rPr>
        <w:t xml:space="preserve">Study of 100 participants exposed to 6.5-hour monochromatic light at different wavelengths (420-620nm). Found melanopsin peaks at 480nm with S-cones contributing early in light exposure and melanopsin dominating over longer durations. Spectral sensitivity changes dynamically over time, with both cones and melanopsin contributing to circadian responses.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Addresses chapter's discussion of spectral sensitivity and the 480nm peak. Importantly supports chapter's nuance that melanopsin is 'broadly responsive' not just narrowly tuned, and that the system integrates multiple photoreceptor inputs.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Gideon P. Dunster, Luciano de la Iglesia, Miriam Ben-Hamo, Claire Nave, Jason G. Fleischer, Satchidananda Panda, Horacio O. de la Iglesia (2018). </w:t>
      </w:r>
      <w:r>
        <w:rPr>
          <w:rFonts w:ascii="Calibri" w:cs="Calibri" w:eastAsia="Calibri" w:hAnsi="Calibri"/>
          <w:i/>
          <w:iCs/>
          <w:sz w:val="22"/>
          <w:szCs w:val="22"/>
        </w:rPr>
        <w:t xml:space="preserve">Sleepmore in Seattle: Later School Start Times Are Associated with More Sleep and Better Performance in High School Students</w:t>
      </w:r>
      <w:r>
        <w:rPr>
          <w:rFonts w:ascii="Calibri" w:cs="Calibri" w:eastAsia="Calibri" w:hAnsi="Calibri"/>
          <w:color w:val="666666"/>
          <w:sz w:val="20"/>
          <w:szCs w:val="20"/>
        </w:rPr>
        <w:t xml:space="preserve"> DOI: 10.1126/sciadv.aau6200</w:t>
      </w:r>
      <w:r>
        <w:rPr>
          <w:rFonts w:ascii="Calibri" w:cs="Calibri" w:eastAsia="Calibri" w:hAnsi="Calibri"/>
          <w:color w:val="336699"/>
          <w:sz w:val="20"/>
          <w:szCs w:val="20"/>
        </w:rPr>
        <w:t xml:space="preserve"> https://pubmed.ncbi.nlm.nih.gov/30547089/</w:t>
      </w:r>
    </w:p>
    <w:p>
      <w:pPr>
        <w:spacing w:after="40"/>
        <w:ind w:left="360"/>
      </w:pPr>
      <w:r>
        <w:rPr>
          <w:rFonts w:ascii="Calibri" w:cs="Calibri" w:eastAsia="Calibri" w:hAnsi="Calibri"/>
          <w:sz w:val="22"/>
          <w:szCs w:val="22"/>
        </w:rPr>
        <w:t xml:space="preserve">Seattle high schools delayed start times from 7:50 to 8:45 AM. Students (n=92 in 2016, n=88 in 2017) gained 34 minutes of sleep on school nights using wrist actigraphy. Sleep offset delayed significantly but onset did not change. Morning light exposure delayed but evening exposure unchanged. Grades improved 4.5% and attendance increased significantly.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The Dunster et al. study explicitly referenced in chapter description. Provides evidence that 'part of its effect may have been that later starts allowed students to receive morning light at a biologically appropriate phase'—exactly the reframing proposed in the chapter.</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Gideon P. Dunster, Isabelle Hua, Alex Grahe, Jason G. Fleischer, Satchidananda Panda, Kenneth P. Wright Jr., Céline Vetter, Jennifer H. Doherty, Horacio O. de la Iglesia (2023). </w:t>
      </w:r>
      <w:r>
        <w:rPr>
          <w:rFonts w:ascii="Calibri" w:cs="Calibri" w:eastAsia="Calibri" w:hAnsi="Calibri"/>
          <w:i/>
          <w:iCs/>
          <w:sz w:val="22"/>
          <w:szCs w:val="22"/>
        </w:rPr>
        <w:t xml:space="preserve">Daytime Light Exposure Is a Strong Predictor of Seasonal Variation in Sleep and Circadian Timing of University Students</w:t>
      </w:r>
      <w:r>
        <w:rPr>
          <w:rFonts w:ascii="Calibri" w:cs="Calibri" w:eastAsia="Calibri" w:hAnsi="Calibri"/>
          <w:color w:val="666666"/>
          <w:sz w:val="20"/>
          <w:szCs w:val="20"/>
        </w:rPr>
        <w:t xml:space="preserve"> DOI: 10.1111/jpi.12843</w:t>
      </w:r>
      <w:r>
        <w:rPr>
          <w:rFonts w:ascii="Calibri" w:cs="Calibri" w:eastAsia="Calibri" w:hAnsi="Calibri"/>
          <w:color w:val="336699"/>
          <w:sz w:val="20"/>
          <w:szCs w:val="20"/>
        </w:rPr>
        <w:t xml:space="preserve"> https://pubmed.ncbi.nlm.nih.gov/36404490/</w:t>
      </w:r>
    </w:p>
    <w:p>
      <w:pPr>
        <w:spacing w:after="40"/>
        <w:ind w:left="360"/>
      </w:pPr>
      <w:r>
        <w:rPr>
          <w:rFonts w:ascii="Calibri" w:cs="Calibri" w:eastAsia="Calibri" w:hAnsi="Calibri"/>
          <w:sz w:val="22"/>
          <w:szCs w:val="22"/>
        </w:rPr>
        <w:t xml:space="preserve">Study of 500+ university students across four seasons in Seattle (47.6°N). Each additional hour of daytime light (≥50 lux) advanced MSFc by 30 minutes, while each additional hour of post-dusk light delayed it by only 15 minutes. Daytime light exposure was stronger predictor of chronotype than evening light exposure. Winter sleep timing delayed 35 minutes compared to summer.</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Quantifies the interaction between light timing and chronotype mentioned in chapter. Shows that morning/daytime light is twice as powerful as evening light for phase control. Demonstrates how genetic chronotype interacts with environmental light exposure to determine real-world sleep patterns.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Stephanie J. Crowley, Charmane I. Eastman (2015). </w:t>
      </w:r>
      <w:r>
        <w:rPr>
          <w:rFonts w:ascii="Calibri" w:cs="Calibri" w:eastAsia="Calibri" w:hAnsi="Calibri"/>
          <w:i/>
          <w:iCs/>
          <w:sz w:val="22"/>
          <w:szCs w:val="22"/>
        </w:rPr>
        <w:t xml:space="preserve">Phase Advancing Human Circadian Rhythms with Morning Bright Light, Afternoon Melatonin, and Gradually Shifted Sleep: Can We Reduce Morning Bright-Light Duration?</w:t>
      </w:r>
      <w:r>
        <w:rPr>
          <w:rFonts w:ascii="Calibri" w:cs="Calibri" w:eastAsia="Calibri" w:hAnsi="Calibri"/>
          <w:color w:val="666666"/>
          <w:sz w:val="20"/>
          <w:szCs w:val="20"/>
        </w:rPr>
        <w:t xml:space="preserve"> DOI: 10.1016/j.sleep.2014.12.019</w:t>
      </w:r>
      <w:r>
        <w:rPr>
          <w:rFonts w:ascii="Calibri" w:cs="Calibri" w:eastAsia="Calibri" w:hAnsi="Calibri"/>
          <w:color w:val="336699"/>
          <w:sz w:val="20"/>
          <w:szCs w:val="20"/>
        </w:rPr>
        <w:t xml:space="preserve"> https://pubmed.ncbi.nlm.nih.gov/25620199/</w:t>
      </w:r>
    </w:p>
    <w:p>
      <w:pPr>
        <w:spacing w:after="40"/>
        <w:ind w:left="360"/>
      </w:pPr>
      <w:r>
        <w:rPr>
          <w:rFonts w:ascii="Calibri" w:cs="Calibri" w:eastAsia="Calibri" w:hAnsi="Calibri"/>
          <w:sz w:val="22"/>
          <w:szCs w:val="22"/>
        </w:rPr>
        <w:t xml:space="preserve">Fifty adults tested three morning bright light patterns (~5000 lux): 2 hours, 1 hour, or 0.5 hour exposure combined with afternoon melatonin. The 2-hour group achieved 2.6-hour phase advance; the 0.5-hour group achieved 1.8-hour advance (75% of maximum effect). Single 30-minute exposure with melatonin is an efficient treatment for advancing circadian rhythms.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practical protocol design for morning light strategy discussed in chapter. Shows dose-response relationship and demonstrates that even brief (30-min) bright light exposure can produce clinically meaningful phase advances when properly timed.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2026-02-20T02:07:00.300Z</dcterms:created>
  <dcterms:modified xsi:type="dcterms:W3CDTF">2026-02-20T02:07:00.300Z</dcterms:modified>
</cp:coreProperties>
</file>

<file path=docProps/custom.xml><?xml version="1.0" encoding="utf-8"?>
<Properties xmlns="http://schemas.openxmlformats.org/officeDocument/2006/custom-properties" xmlns:vt="http://schemas.openxmlformats.org/officeDocument/2006/docPropsVTypes"/>
</file>