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200"/>
        <w:jc w:val="center"/>
      </w:pPr>
      <w:r>
        <w:rPr>
          <w:rFonts w:ascii="Calibri" w:cs="Calibri" w:eastAsia="Calibri" w:hAnsi="Calibri"/>
          <w:b/>
          <w:bCs/>
          <w:sz w:val="26"/>
          <w:szCs w:val="26"/>
        </w:rPr>
        <w:t xml:space="preserve">Screens, Stimulation, and Wind-Down — Why Your Brain Won't Shut Up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According to the evidence reviewed in this chapter, what is the more potent mechanism by which screens disrupt sleep compared to blue light emission?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Cognitive and emotional arousal from screen content</w:t>
      </w:r>
    </w:p>
    <w:p>
      <w:pPr>
        <w:spacing w:after="120"/>
        <w:ind w:left="360"/>
      </w:pPr>
      <w:r>
        <w:rPr>
          <w:rFonts w:ascii="Calibri" w:cs="Calibri" w:eastAsia="Calibri" w:hAnsi="Calibri"/>
          <w:i/>
          <w:iCs/>
          <w:sz w:val="20"/>
          <w:szCs w:val="20"/>
        </w:rPr>
        <w:t xml:space="preserve">The chapter argues, supported by Blume et al.'s systematic review and Green et al.'s research, that the stimulating content on screens — such as news feeds, social media arguments, and competitive games — activates the sympathetic nervous system and sustains cortical arousal at the very time the brain needs to transition toward parasympathetic dominance. This cognitive arousal effect is a stronger disruptor than the relatively modest blue light emitted by screens at typical viewing distances.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Suppression of melatonin by melanopsin-activating wavelengths from the screen</w:t>
      </w:r>
    </w:p>
    <w:p>
      <w:pPr>
        <w:spacing w:after="80"/>
        <w:ind w:left="360"/>
      </w:pPr>
      <w:r>
        <w:rPr>
          <w:rFonts w:ascii="Calibri" w:cs="Calibri" w:eastAsia="Calibri" w:hAnsi="Calibri"/>
          <w:i/>
          <w:iCs/>
          <w:sz w:val="20"/>
          <w:szCs w:val="20"/>
        </w:rPr>
        <w:t xml:space="preserve">Students might choose this because blue light suppressing melatonin is one of the most widely repeated claims about screens and sleep. However, the chapter demonstrates that typical screen lux levels at normal viewing distances are far below the thresholds shown to significantly suppress melatonin in controlled studies.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Electromagnetic radiation from the device interfering with brain wave patterns</w:t>
      </w:r>
    </w:p>
    <w:p>
      <w:pPr>
        <w:spacing w:after="80"/>
        <w:ind w:left="360"/>
      </w:pPr>
      <w:r>
        <w:rPr>
          <w:rFonts w:ascii="Calibri" w:cs="Calibri" w:eastAsia="Calibri" w:hAnsi="Calibri"/>
          <w:i/>
          <w:iCs/>
          <w:sz w:val="20"/>
          <w:szCs w:val="20"/>
        </w:rPr>
        <w:t xml:space="preserve">Students might choose this because general concerns about device radiation are common in popular media. However, this is not a mechanism discussed in the evidence reviewed in the chapter, and it conflates unrelated health concerns with the specific sleep-disruption pathways the chapter addresses.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Heat emission from the device raising skin temperature and core body temperature</w:t>
      </w:r>
    </w:p>
    <w:p>
      <w:pPr>
        <w:spacing w:after="80"/>
        <w:ind w:left="360"/>
      </w:pPr>
      <w:r>
        <w:rPr>
          <w:rFonts w:ascii="Calibri" w:cs="Calibri" w:eastAsia="Calibri" w:hAnsi="Calibri"/>
          <w:i/>
          <w:iCs/>
          <w:sz w:val="20"/>
          <w:szCs w:val="20"/>
        </w:rPr>
        <w:t xml:space="preserve">Students might choose this if they recall that body temperature plays a role in sleep regulation. However, the chapter does not identify device heat as a meaningful sleep disruptor; the primary mechanism discussed is the cognitive and emotional stimulation from the content being consumed.</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 typical phone screen held at arm's length produces approximately how many lux, and how does this compare to the light levels used in studies showing robust melatonin suppression?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40–80 lux from the phone, versus 200+ lux in melatonin suppression studies</w:t>
      </w:r>
    </w:p>
    <w:p>
      <w:pPr>
        <w:spacing w:after="120"/>
        <w:ind w:left="360"/>
      </w:pPr>
      <w:r>
        <w:rPr>
          <w:rFonts w:ascii="Calibri" w:cs="Calibri" w:eastAsia="Calibri" w:hAnsi="Calibri"/>
          <w:i/>
          <w:iCs/>
          <w:sz w:val="20"/>
          <w:szCs w:val="20"/>
        </w:rPr>
        <w:t xml:space="preserve">The chapter explicitly states that a phone screen at arm's length typically produces 40–80 lux, while the controlled studies demonstrating significant melatonin suppression used light exposures of 200 lux or more. This quantitative gap is central to the chapter's argument that the 'screen panic' overstates the blue light evidence.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100–150 lux from the phone, versus 300+ lux in melatonin suppression studies</w:t>
      </w:r>
    </w:p>
    <w:p>
      <w:pPr>
        <w:spacing w:after="80"/>
        <w:ind w:left="360"/>
      </w:pPr>
      <w:r>
        <w:rPr>
          <w:rFonts w:ascii="Calibri" w:cs="Calibri" w:eastAsia="Calibri" w:hAnsi="Calibri"/>
          <w:i/>
          <w:iCs/>
          <w:sz w:val="20"/>
          <w:szCs w:val="20"/>
        </w:rPr>
        <w:t xml:space="preserve">Students might choose this if they recall the general point that phone light is below study thresholds but misremember the specific numbers. The actual figures cited are 40–80 lux for phones and 200+ lux for the studies — a gap that is even more dramatic than this distractor suggests.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40–80 lux from the phone, versus 100+ lux in melatonin suppression studies</w:t>
      </w:r>
    </w:p>
    <w:p>
      <w:pPr>
        <w:spacing w:after="80"/>
        <w:ind w:left="360"/>
      </w:pPr>
      <w:r>
        <w:rPr>
          <w:rFonts w:ascii="Calibri" w:cs="Calibri" w:eastAsia="Calibri" w:hAnsi="Calibri"/>
          <w:i/>
          <w:iCs/>
          <w:sz w:val="20"/>
          <w:szCs w:val="20"/>
        </w:rPr>
        <w:t xml:space="preserve">Students might choose this because the phone lux range is correct. However, 100+ lux understates the threshold used in studies showing robust melatonin suppression, which was 200+ lux. This distractor would make the evidence gap appear smaller than it actually 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200–300 lux from the phone, versus 500+ lux in melatonin suppression studies</w:t>
      </w:r>
    </w:p>
    <w:p>
      <w:pPr>
        <w:spacing w:after="80"/>
        <w:ind w:left="360"/>
      </w:pPr>
      <w:r>
        <w:rPr>
          <w:rFonts w:ascii="Calibri" w:cs="Calibri" w:eastAsia="Calibri" w:hAnsi="Calibri"/>
          <w:i/>
          <w:iCs/>
          <w:sz w:val="20"/>
          <w:szCs w:val="20"/>
        </w:rPr>
        <w:t xml:space="preserve">Students might choose this if they overestimate how much light a phone produces. In reality, phones at typical viewing distances produce only 40–80 lux, which is far lower than this distractor implies, and robust suppression studies used 200+ lux, not 500+.</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Which of the following is the best example of low-arousal screen use that the chapter suggests is less likely to disrupt the wake-to-sleep transition?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Listening to a calm podcast with the screen dimmed</w:t>
      </w:r>
    </w:p>
    <w:p>
      <w:pPr>
        <w:spacing w:after="120"/>
        <w:ind w:left="360"/>
      </w:pPr>
      <w:r>
        <w:rPr>
          <w:rFonts w:ascii="Calibri" w:cs="Calibri" w:eastAsia="Calibri" w:hAnsi="Calibri"/>
          <w:i/>
          <w:iCs/>
          <w:sz w:val="20"/>
          <w:szCs w:val="20"/>
        </w:rPr>
        <w:t xml:space="preserve">The chapter distinguishes between high-arousal screen use (doomscrolling, work emails, competitive gaming) and low-arousal screen use (a calm podcast, an e-reader, a familiar TV show on low brightness). A calm podcast with a dimmed screen exemplifies low cognitive and emotional stimulation, which is the key variable — the cognitive context matters more than the wavelength.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Checking and responding to work emails to clear the inbox before bed</w:t>
      </w:r>
    </w:p>
    <w:p>
      <w:pPr>
        <w:spacing w:after="80"/>
        <w:ind w:left="360"/>
      </w:pPr>
      <w:r>
        <w:rPr>
          <w:rFonts w:ascii="Calibri" w:cs="Calibri" w:eastAsia="Calibri" w:hAnsi="Calibri"/>
          <w:i/>
          <w:iCs/>
          <w:sz w:val="20"/>
          <w:szCs w:val="20"/>
        </w:rPr>
        <w:t xml:space="preserve">Students might choose this thinking that reducing the to-do list would feel calming. However, the chapter explicitly identifies work emails as high-arousal screen use because they engage problem-solving, planning, and often stress responses — all of which activate the sympathetic nervous system.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Playing a fast-paced competitive online game for a short session</w:t>
      </w:r>
    </w:p>
    <w:p>
      <w:pPr>
        <w:spacing w:after="80"/>
        <w:ind w:left="360"/>
      </w:pPr>
      <w:r>
        <w:rPr>
          <w:rFonts w:ascii="Calibri" w:cs="Calibri" w:eastAsia="Calibri" w:hAnsi="Calibri"/>
          <w:i/>
          <w:iCs/>
          <w:sz w:val="20"/>
          <w:szCs w:val="20"/>
        </w:rPr>
        <w:t xml:space="preserve">Students might think that a short session would limit the impact. However, competitive gaming is explicitly listed as high-arousal screen use because it demands sustained attention, triggers adrenaline, and activates the sympathetic nervous system — the duration does not change the arousal type.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Scrolling through a social media news feed with breaking news updates</w:t>
      </w:r>
    </w:p>
    <w:p>
      <w:pPr>
        <w:spacing w:after="80"/>
        <w:ind w:left="360"/>
      </w:pPr>
      <w:r>
        <w:rPr>
          <w:rFonts w:ascii="Calibri" w:cs="Calibri" w:eastAsia="Calibri" w:hAnsi="Calibri"/>
          <w:i/>
          <w:iCs/>
          <w:sz w:val="20"/>
          <w:szCs w:val="20"/>
        </w:rPr>
        <w:t xml:space="preserve">Students might think passive scrolling is relaxing since it doesn't require active effort. However, the chapter identifies doomscrolling and news feeds as high-arousal screen use because unpredictable, emotionally charged content sustains cortical arousal and sympathetic activation.</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What is the recommended duration of the 'wind-down buffer zone' before intended sleep onset?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60–90 minutes</w:t>
      </w:r>
    </w:p>
    <w:p>
      <w:pPr>
        <w:spacing w:after="120"/>
        <w:ind w:left="360"/>
      </w:pPr>
      <w:r>
        <w:rPr>
          <w:rFonts w:ascii="Calibri" w:cs="Calibri" w:eastAsia="Calibri" w:hAnsi="Calibri"/>
          <w:i/>
          <w:iCs/>
          <w:sz w:val="20"/>
          <w:szCs w:val="20"/>
        </w:rPr>
        <w:t xml:space="preserve">The chapter specifies a wind-down buffer zone of 60–90 minutes before intended sleep, during which stimulation should progressively decline. This period allows sufficient time for the physiological transitions needed for sleep onset, including declining cortisol, the shift from sympathetic to parasympathetic dominance, and the quieting of cortical arousal.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15–30 minutes</w:t>
      </w:r>
    </w:p>
    <w:p>
      <w:pPr>
        <w:spacing w:after="80"/>
        <w:ind w:left="360"/>
      </w:pPr>
      <w:r>
        <w:rPr>
          <w:rFonts w:ascii="Calibri" w:cs="Calibri" w:eastAsia="Calibri" w:hAnsi="Calibri"/>
          <w:i/>
          <w:iCs/>
          <w:sz w:val="20"/>
          <w:szCs w:val="20"/>
        </w:rPr>
        <w:t xml:space="preserve">Students might choose this thinking a brief relaxation period is sufficient. However, 15–30 minutes is too short to support the necessary physiological transitions — including cortisol decline, sympathetic-to-parasympathetic shift, and the quieting of the default mode network — that the chapter describes as requiring 60–90 minutes.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30–45 minutes</w:t>
      </w:r>
    </w:p>
    <w:p>
      <w:pPr>
        <w:spacing w:after="80"/>
        <w:ind w:left="360"/>
      </w:pPr>
      <w:r>
        <w:rPr>
          <w:rFonts w:ascii="Calibri" w:cs="Calibri" w:eastAsia="Calibri" w:hAnsi="Calibri"/>
          <w:i/>
          <w:iCs/>
          <w:sz w:val="20"/>
          <w:szCs w:val="20"/>
        </w:rPr>
        <w:t xml:space="preserve">Students might choose this as a compromise estimate. However, the chapter specifies 60–90 minutes because the sympathetic-to-parasympathetic transition and the progressive decline in cortical arousal require a more extended period of reduced stimulation than 30–45 minutes provides.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2–3 hours</w:t>
      </w:r>
    </w:p>
    <w:p>
      <w:pPr>
        <w:spacing w:after="80"/>
        <w:ind w:left="360"/>
      </w:pPr>
      <w:r>
        <w:rPr>
          <w:rFonts w:ascii="Calibri" w:cs="Calibri" w:eastAsia="Calibri" w:hAnsi="Calibri"/>
          <w:i/>
          <w:iCs/>
          <w:sz w:val="20"/>
          <w:szCs w:val="20"/>
        </w:rPr>
        <w:t xml:space="preserve">Students might choose this thinking more buffer time is always better. However, the chapter recommends 60–90 minutes as the evidence-based duration; 2–3 hours overstates the recommendation and would be unnecessarily restrictive and difficult to maintain consistently.</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During the wake-to-sleep transition, which combination of physiological changes must occur for healthy sleep onset?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Declining cortisol, a shift from sympathetic to parasympathetic activity, and quieting of the default mode network</w:t>
      </w:r>
    </w:p>
    <w:p>
      <w:pPr>
        <w:spacing w:after="120"/>
        <w:ind w:left="360"/>
      </w:pPr>
      <w:r>
        <w:rPr>
          <w:rFonts w:ascii="Calibri" w:cs="Calibri" w:eastAsia="Calibri" w:hAnsi="Calibri"/>
          <w:i/>
          <w:iCs/>
          <w:sz w:val="20"/>
          <w:szCs w:val="20"/>
        </w:rPr>
        <w:t xml:space="preserve">The chapter describes the psychophysiology of the wake-to-sleep transition as involving three coordinated changes: a decline in cortisol levels, a shift from sympathetic nervous system dominance to parasympathetic dominance, and the quieting of the default mode network. High-arousal screen use disrupts all three of these processes simultaneously.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Increasing cortisol, a shift from parasympathetic to sympathetic activity, and activation of the default mode network</w:t>
      </w:r>
    </w:p>
    <w:p>
      <w:pPr>
        <w:spacing w:after="80"/>
        <w:ind w:left="360"/>
      </w:pPr>
      <w:r>
        <w:rPr>
          <w:rFonts w:ascii="Calibri" w:cs="Calibri" w:eastAsia="Calibri" w:hAnsi="Calibri"/>
          <w:i/>
          <w:iCs/>
          <w:sz w:val="20"/>
          <w:szCs w:val="20"/>
        </w:rPr>
        <w:t xml:space="preserve">Students might confuse the direction of these changes. This describes the opposite of what is needed — it represents a stress or alertness response. Sleep onset requires cortisol to decline, the parasympathetic system to become dominant, and the default mode network to quiet down.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Declining cortisol, increased sympathetic nervous system activity, and activation of the reticular activating system</w:t>
      </w:r>
    </w:p>
    <w:p>
      <w:pPr>
        <w:spacing w:after="80"/>
        <w:ind w:left="360"/>
      </w:pPr>
      <w:r>
        <w:rPr>
          <w:rFonts w:ascii="Calibri" w:cs="Calibri" w:eastAsia="Calibri" w:hAnsi="Calibri"/>
          <w:i/>
          <w:iCs/>
          <w:sz w:val="20"/>
          <w:szCs w:val="20"/>
        </w:rPr>
        <w:t xml:space="preserve">Students might correctly recall the cortisol decline but confuse the autonomic nervous system shift. Sleep onset requires a decrease in sympathetic activity (not an increase), and the reticular activating system promotes wakefulness rather than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Rapid depletion of adenosine, a surge in parasympathetic activity, and increased cortical arousal</w:t>
      </w:r>
    </w:p>
    <w:p>
      <w:pPr>
        <w:spacing w:after="80"/>
        <w:ind w:left="360"/>
      </w:pPr>
      <w:r>
        <w:rPr>
          <w:rFonts w:ascii="Calibri" w:cs="Calibri" w:eastAsia="Calibri" w:hAnsi="Calibri"/>
          <w:i/>
          <w:iCs/>
          <w:sz w:val="20"/>
          <w:szCs w:val="20"/>
        </w:rPr>
        <w:t xml:space="preserve">Students might select this because parasympathetic activity does increase before sleep. However, adenosine does not rapidly deplete at sleep onset (it clears gradually during sleep), and cortical arousal must decrease, not increase, for the transition to occur.</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Why does the chapter argue that willpower-based advice like 'just put the phone down' is ineffective as a primary strategy for reducing pre-sleep screen use?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High adenosine levels at night impair executive function, making effortful self-regulation unreliable</w:t>
      </w:r>
    </w:p>
    <w:p>
      <w:pPr>
        <w:spacing w:after="120"/>
        <w:ind w:left="360"/>
      </w:pPr>
      <w:r>
        <w:rPr>
          <w:rFonts w:ascii="Calibri" w:cs="Calibri" w:eastAsia="Calibri" w:hAnsi="Calibri"/>
          <w:i/>
          <w:iCs/>
          <w:sz w:val="20"/>
          <w:szCs w:val="20"/>
        </w:rPr>
        <w:t xml:space="preserve">The chapter connects adenosine and Process S from earlier chapters to explain that by nighttime, accumulated adenosine has degraded executive function — the very cognitive capacity required for inhibiting a rewarding behavior like phone use. This is why pre-commitment strategies and environmental design are more effective: they don't rely on decisions made by a cognitively depleted brain.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Blue light from the screen has already suppressed melatonin, making the person too alert to want to stop</w:t>
      </w:r>
    </w:p>
    <w:p>
      <w:pPr>
        <w:spacing w:after="80"/>
        <w:ind w:left="360"/>
      </w:pPr>
      <w:r>
        <w:rPr>
          <w:rFonts w:ascii="Calibri" w:cs="Calibri" w:eastAsia="Calibri" w:hAnsi="Calibri"/>
          <w:i/>
          <w:iCs/>
          <w:sz w:val="20"/>
          <w:szCs w:val="20"/>
        </w:rPr>
        <w:t xml:space="preserve">Students might choose this by connecting blue light to continued alertness. However, the chapter's argument is specifically about impaired executive function due to adenosine accumulation, not about light-driven alertness. Moreover, the chapter argues that phone-level light is insufficient for robust melatonin suppression.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parasympathetic nervous system makes people too relaxed to muster the motivation to change behavior</w:t>
      </w:r>
    </w:p>
    <w:p>
      <w:pPr>
        <w:spacing w:after="80"/>
        <w:ind w:left="360"/>
      </w:pPr>
      <w:r>
        <w:rPr>
          <w:rFonts w:ascii="Calibri" w:cs="Calibri" w:eastAsia="Calibri" w:hAnsi="Calibri"/>
          <w:i/>
          <w:iCs/>
          <w:sz w:val="20"/>
          <w:szCs w:val="20"/>
        </w:rPr>
        <w:t xml:space="preserve">Students might think that pre-sleep relaxation reduces motivation. However, the problem is the opposite: high adenosine impairs cognitive control, and the issue is not excessive relaxation but rather depleted executive function. Additionally, continued screen use often sustains sympathetic (not parasympathetic) activation.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Screens create a physical dopamine dependency that cannot be overridden by conscious decision</w:t>
      </w:r>
    </w:p>
    <w:p>
      <w:pPr>
        <w:spacing w:after="80"/>
        <w:ind w:left="360"/>
      </w:pPr>
      <w:r>
        <w:rPr>
          <w:rFonts w:ascii="Calibri" w:cs="Calibri" w:eastAsia="Calibri" w:hAnsi="Calibri"/>
          <w:i/>
          <w:iCs/>
          <w:sz w:val="20"/>
          <w:szCs w:val="20"/>
        </w:rPr>
        <w:t xml:space="preserve">Students might choose this due to popular narratives about phone addiction and dopamine. While screens can be rewarding, the chapter's specific argument is about adenosine-driven executive function impairment — not a clinical dopamine dependency — making the case for pre-commitment strategies rather than reliance on in-the-moment decisions.</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student tells you: 'I bought blue-light blocking glasses so now I can scroll Twitter and play competitive games in bed right up until I sleep.' Based on the chapter's evidence, what is the most accurate critique of this reasoning?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glasses may reduce a small light effect, but the cognitive and sympathetic arousal from that content is the primary sleep disruptor that the glasses cannot address</w:t>
      </w:r>
    </w:p>
    <w:p>
      <w:pPr>
        <w:spacing w:after="120"/>
        <w:ind w:left="360"/>
      </w:pPr>
      <w:r>
        <w:rPr>
          <w:rFonts w:ascii="Calibri" w:cs="Calibri" w:eastAsia="Calibri" w:hAnsi="Calibri"/>
          <w:i/>
          <w:iCs/>
          <w:sz w:val="20"/>
          <w:szCs w:val="20"/>
        </w:rPr>
        <w:t xml:space="preserve">This question tests the chapter's central reframing: the dominant mechanism of screen-based sleep disruption is cognitive and emotional arousal, not blue light. Blue-light blocking glasses address only the light component, which at phone-level lux is already modest. Competitive gaming and doomscrolling activate the sympathetic nervous system and sustain cortical arousal regardless of the wavelength being filtered.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glasses are ineffective because modern phone screens use LED technology that doesn't emit sufficient energy in the melanopsin-sensitive range to disrupt sleep</w:t>
      </w:r>
    </w:p>
    <w:p>
      <w:pPr>
        <w:spacing w:after="80"/>
        <w:ind w:left="360"/>
      </w:pPr>
      <w:r>
        <w:rPr>
          <w:rFonts w:ascii="Calibri" w:cs="Calibri" w:eastAsia="Calibri" w:hAnsi="Calibri"/>
          <w:i/>
          <w:iCs/>
          <w:sz w:val="20"/>
          <w:szCs w:val="20"/>
        </w:rPr>
        <w:t xml:space="preserve">Students might choose this as a strong rejection of blue-light glasses. However, the chapter acknowledges that screens do emit light in the melanopsin-sensitive range — it simply argues that the lux levels at typical distances are below thresholds for significant melatonin suppression. Saying phones emit none of this light is factually inaccurate.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glasses are fully effective because blue light is the only mechanism by which screens disrupt sleep, since blocking this wavelength directly prevents circadian disruption</w:t>
      </w:r>
    </w:p>
    <w:p>
      <w:pPr>
        <w:spacing w:after="80"/>
        <w:ind w:left="360"/>
      </w:pPr>
      <w:r>
        <w:rPr>
          <w:rFonts w:ascii="Calibri" w:cs="Calibri" w:eastAsia="Calibri" w:hAnsi="Calibri"/>
          <w:i/>
          <w:iCs/>
          <w:sz w:val="20"/>
          <w:szCs w:val="20"/>
        </w:rPr>
        <w:t xml:space="preserve">Students might choose this if they hold the popular belief that blue light is the sole screen-sleep problem. The chapter explicitly argues against this single-mechanism view, presenting evidence that cognitive and emotional arousal is the more potent disruptor, which glasses cannot filter.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student's plan is fine because while screens may disrupt sleep somewhat, blue-light blocking glasses are designed specifically to counteract the primary circadian disruption mechanism</w:t>
      </w:r>
    </w:p>
    <w:p>
      <w:pPr>
        <w:spacing w:after="80"/>
        <w:ind w:left="360"/>
      </w:pPr>
      <w:r>
        <w:rPr>
          <w:rFonts w:ascii="Calibri" w:cs="Calibri" w:eastAsia="Calibri" w:hAnsi="Calibri"/>
          <w:i/>
          <w:iCs/>
          <w:sz w:val="20"/>
          <w:szCs w:val="20"/>
        </w:rPr>
        <w:t xml:space="preserve">Students might choose this if they over-apply the chapter's debunking of blue-light panic to conclude screens are harmless. The chapter is careful to note that while the light concern is overstated, the arousal argument is strong — high-stimulation screen use genuinely disrupts the sympathetic-to-parasympathetic transition needed for sleep.</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chapter recommends pre-commitment strategies and environmental design over willpower for managing evening screen use. Which scenario best illustrates this principle?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Setting a phone to automatically enable Do Not Disturb mode and move to a charging station outside the bedroom at 10:00 PM</w:t>
      </w:r>
    </w:p>
    <w:p>
      <w:pPr>
        <w:spacing w:after="120"/>
        <w:ind w:left="360"/>
      </w:pPr>
      <w:r>
        <w:rPr>
          <w:rFonts w:ascii="Calibri" w:cs="Calibri" w:eastAsia="Calibri" w:hAnsi="Calibri"/>
          <w:i/>
          <w:iCs/>
          <w:sz w:val="20"/>
          <w:szCs w:val="20"/>
        </w:rPr>
        <w:t xml:space="preserve">Pre-commitment strategies work by making decisions in advance when executive function is intact, removing the need for effortful self-control later when adenosine accumulation has impaired it. An automated phone setting and a designated charging location outside the bedroom are environmental design features that eliminate the need for in-the-moment willpower.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Promising yourself each night that you will stop scrolling at 10:00 PM</w:t>
      </w:r>
    </w:p>
    <w:p>
      <w:pPr>
        <w:spacing w:after="80"/>
        <w:ind w:left="360"/>
      </w:pPr>
      <w:r>
        <w:rPr>
          <w:rFonts w:ascii="Calibri" w:cs="Calibri" w:eastAsia="Calibri" w:hAnsi="Calibri"/>
          <w:i/>
          <w:iCs/>
          <w:sz w:val="20"/>
          <w:szCs w:val="20"/>
        </w:rPr>
        <w:t xml:space="preserve">Students might view this as a form of commitment. However, a nightly promise relies entirely on in-the-moment willpower, which the chapter argues is unreliable at night due to adenosine-impaired executive function. This is exactly the type of willpower-based approach the chapter critiques.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Wearing blue-light blocking glasses while continuing to use all devices freely until sleep</w:t>
      </w:r>
    </w:p>
    <w:p>
      <w:pPr>
        <w:spacing w:after="80"/>
        <w:ind w:left="360"/>
      </w:pPr>
      <w:r>
        <w:rPr>
          <w:rFonts w:ascii="Calibri" w:cs="Calibri" w:eastAsia="Calibri" w:hAnsi="Calibri"/>
          <w:i/>
          <w:iCs/>
          <w:sz w:val="20"/>
          <w:szCs w:val="20"/>
        </w:rPr>
        <w:t xml:space="preserve">Students might see this as a practical intervention. However, it addresses only the less significant light mechanism while ignoring the cognitive arousal mechanism entirely. It also doesn't involve any pre-commitment to limit screen engagement, which is the core principle of the question.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Deciding each evening based on how tired you feel whether to continue using screens or stop</w:t>
      </w:r>
    </w:p>
    <w:p>
      <w:pPr>
        <w:spacing w:after="80"/>
        <w:ind w:left="360"/>
      </w:pPr>
      <w:r>
        <w:rPr>
          <w:rFonts w:ascii="Calibri" w:cs="Calibri" w:eastAsia="Calibri" w:hAnsi="Calibri"/>
          <w:i/>
          <w:iCs/>
          <w:sz w:val="20"/>
          <w:szCs w:val="20"/>
        </w:rPr>
        <w:t xml:space="preserve">Students might think this approach is adaptive and personalized. However, it relies on real-time judgment at a time when high adenosine levels have already compromised the executive function needed for good decision-making. The chapter explicitly warns against strategies that depend on tired decision-making.</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How does the chapter characterize the role of consistent pre-sleep routines in promoting sleep onset?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They function as conditioned cues that signal the brain to begin the physiological transition toward sleep</w:t>
      </w:r>
    </w:p>
    <w:p>
      <w:pPr>
        <w:spacing w:after="120"/>
        <w:ind w:left="360"/>
      </w:pPr>
      <w:r>
        <w:rPr>
          <w:rFonts w:ascii="Calibri" w:cs="Calibri" w:eastAsia="Calibri" w:hAnsi="Calibri"/>
          <w:i/>
          <w:iCs/>
          <w:sz w:val="20"/>
          <w:szCs w:val="20"/>
        </w:rPr>
        <w:t xml:space="preserve">The chapter describes consistent pre-sleep routines as conditioned cues — through repeated association, the brain learns that specific behavioral sequences predict sleep onset. Over time, these routines automatically begin to trigger the necessary physiological shifts (cortisol decline, parasympathetic activation, cortical quieting), reducing reliance on conscious effort to fall asleep.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physically exhaust the body so that sleep becomes unavoidable due to fatigue</w:t>
      </w:r>
    </w:p>
    <w:p>
      <w:pPr>
        <w:spacing w:after="80"/>
        <w:ind w:left="360"/>
      </w:pPr>
      <w:r>
        <w:rPr>
          <w:rFonts w:ascii="Calibri" w:cs="Calibri" w:eastAsia="Calibri" w:hAnsi="Calibri"/>
          <w:i/>
          <w:iCs/>
          <w:sz w:val="20"/>
          <w:szCs w:val="20"/>
        </w:rPr>
        <w:t xml:space="preserve">Students might choose this if they think routines work by tiring a person out. However, the chapter's explanation is based on classical conditioning — the routine becomes a learned signal for the sleep transition — not on physical exhaustion. Many wind-down activities (reading, stretching) are not physically exhausting.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block blue light exposure entirely, allowing melatonin production to proceed unimpeded</w:t>
      </w:r>
    </w:p>
    <w:p>
      <w:pPr>
        <w:spacing w:after="80"/>
        <w:ind w:left="360"/>
      </w:pPr>
      <w:r>
        <w:rPr>
          <w:rFonts w:ascii="Calibri" w:cs="Calibri" w:eastAsia="Calibri" w:hAnsi="Calibri"/>
          <w:i/>
          <w:iCs/>
          <w:sz w:val="20"/>
          <w:szCs w:val="20"/>
        </w:rPr>
        <w:t xml:space="preserve">Students might associate pre-sleep routines with screen avoidance. While a routine might include reduced screen use, the chapter's explanation of why routines work is about conditioned signaling to the brain — not exclusively about light exposure management.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rapidly clear adenosine from the brain, resetting sleep pressure to optimal levels</w:t>
      </w:r>
    </w:p>
    <w:p>
      <w:pPr>
        <w:spacing w:after="80"/>
        <w:ind w:left="360"/>
      </w:pPr>
      <w:r>
        <w:rPr>
          <w:rFonts w:ascii="Calibri" w:cs="Calibri" w:eastAsia="Calibri" w:hAnsi="Calibri"/>
          <w:i/>
          <w:iCs/>
          <w:sz w:val="20"/>
          <w:szCs w:val="20"/>
        </w:rPr>
        <w:t xml:space="preserve">Students might choose this if they recall adenosine's role in sleep pressure. However, adenosine clears primarily during sleep itself, not during pre-sleep routines. The routines facilitate the transition toward sleep through conditioned cuing, not by altering adenosine clearance.</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researcher designs a study to test the chapter's claim that cognitive arousal, not blue light, is the dominant screen-related sleep disruptor. Which experimental design would most directly test this hypothesis?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Compare sleep outcomes between a group using high-arousal content on a blue-light-filtered screen and a group using low-arousal content on an unfiltered screen, with matched brightness levels</w:t>
      </w:r>
    </w:p>
    <w:p>
      <w:pPr>
        <w:spacing w:after="120"/>
        <w:ind w:left="360"/>
      </w:pPr>
      <w:r>
        <w:rPr>
          <w:rFonts w:ascii="Calibri" w:cs="Calibri" w:eastAsia="Calibri" w:hAnsi="Calibri"/>
          <w:i/>
          <w:iCs/>
          <w:sz w:val="20"/>
          <w:szCs w:val="20"/>
        </w:rPr>
        <w:t xml:space="preserve">This design isolates the two proposed mechanisms against each other. If cognitive arousal is the dominant factor as the chapter argues, the high-arousal/filtered group should show worse sleep outcomes than the low-arousal/unfiltered group. By matching brightness and varying both content arousal and light filtering, this design directly pits the two competing explanations against one another.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Compare sleep outcomes between a group that uses screens for one hour before bed and a group that reads a printed book, measuring melatonin levels</w:t>
      </w:r>
    </w:p>
    <w:p>
      <w:pPr>
        <w:spacing w:after="80"/>
        <w:ind w:left="360"/>
      </w:pPr>
      <w:r>
        <w:rPr>
          <w:rFonts w:ascii="Calibri" w:cs="Calibri" w:eastAsia="Calibri" w:hAnsi="Calibri"/>
          <w:i/>
          <w:iCs/>
          <w:sz w:val="20"/>
          <w:szCs w:val="20"/>
        </w:rPr>
        <w:t xml:space="preserve">Students might choose this as a straightforward test. However, this design confounds blue light and cognitive arousal — screens differ from books in both dimensions simultaneously. It cannot determine which mechanism is dominant because both vary at once, and it doesn't isolate cognitive arousal as a variable.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Measure melatonin levels in participants exposed to phone-level light (50 lux) versus high-intensity light (300 lux) without any screen content</w:t>
      </w:r>
    </w:p>
    <w:p>
      <w:pPr>
        <w:spacing w:after="80"/>
        <w:ind w:left="360"/>
      </w:pPr>
      <w:r>
        <w:rPr>
          <w:rFonts w:ascii="Calibri" w:cs="Calibri" w:eastAsia="Calibri" w:hAnsi="Calibri"/>
          <w:i/>
          <w:iCs/>
          <w:sz w:val="20"/>
          <w:szCs w:val="20"/>
        </w:rPr>
        <w:t xml:space="preserve">Students might choose this because it tests light effects precisely. However, it only tests the light mechanism and completely omits cognitive arousal from the design. Since the chapter's specific claim is about the relative dominance of arousal over light, a study that ignores arousal cannot test that claim.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Survey participants about their subjective screen habits and correlate self-reported screen time with self-reported sleep quality</w:t>
      </w:r>
    </w:p>
    <w:p>
      <w:pPr>
        <w:spacing w:after="80"/>
        <w:ind w:left="360"/>
      </w:pPr>
      <w:r>
        <w:rPr>
          <w:rFonts w:ascii="Calibri" w:cs="Calibri" w:eastAsia="Calibri" w:hAnsi="Calibri"/>
          <w:i/>
          <w:iCs/>
          <w:sz w:val="20"/>
          <w:szCs w:val="20"/>
        </w:rPr>
        <w:t xml:space="preserve">Students might choose this as a practical approach. However, a correlational survey cannot establish causation, cannot distinguish between light and arousal mechanisms, and relies on self-report measures that are subject to recall bias. The hypothesis requires an experimental manipulation that separates the two proposed mechanisms.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2026-02-20T03:01:42.758Z</dcterms:created>
  <dcterms:modified xsi:type="dcterms:W3CDTF">2026-02-20T03:01:42.758Z</dcterms:modified>
</cp:coreProperties>
</file>

<file path=docProps/custom.xml><?xml version="1.0" encoding="utf-8"?>
<Properties xmlns="http://schemas.openxmlformats.org/officeDocument/2006/custom-properties" xmlns:vt="http://schemas.openxmlformats.org/officeDocument/2006/docPropsVTypes"/>
</file>